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F2" w:rsidRPr="0025048F" w:rsidRDefault="006770F2" w:rsidP="00E71617">
      <w:pPr>
        <w:keepNext/>
        <w:rPr>
          <w:sz w:val="20"/>
        </w:rPr>
      </w:pPr>
      <w:r w:rsidRPr="0025048F">
        <w:rPr>
          <w:sz w:val="20"/>
        </w:rPr>
        <w:t xml:space="preserve">                                                                                         </w:t>
      </w:r>
      <w:r w:rsidR="009B4F71" w:rsidRPr="0025048F">
        <w:rPr>
          <w:noProof/>
          <w:sz w:val="20"/>
        </w:rPr>
        <w:drawing>
          <wp:inline distT="0" distB="0" distL="0" distR="0" wp14:anchorId="78723588" wp14:editId="507C8BAE">
            <wp:extent cx="1038225" cy="1000125"/>
            <wp:effectExtent l="0" t="0" r="9525" b="9525"/>
            <wp:docPr id="1" name="Picture 1" descr="The State of Delaware coat of arm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5 coat of arms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00125"/>
                    </a:xfrm>
                    <a:prstGeom prst="rect">
                      <a:avLst/>
                    </a:prstGeom>
                    <a:noFill/>
                    <a:ln>
                      <a:noFill/>
                    </a:ln>
                  </pic:spPr>
                </pic:pic>
              </a:graphicData>
            </a:graphic>
          </wp:inline>
        </w:drawing>
      </w:r>
    </w:p>
    <w:p w:rsidR="00FC574C" w:rsidRPr="0025048F" w:rsidRDefault="00FC574C">
      <w:pPr>
        <w:rPr>
          <w:sz w:val="20"/>
        </w:rPr>
      </w:pPr>
    </w:p>
    <w:tbl>
      <w:tblPr>
        <w:tblW w:w="6337" w:type="dxa"/>
        <w:tblInd w:w="3978" w:type="dxa"/>
        <w:tblLayout w:type="fixed"/>
        <w:tblLook w:val="0000" w:firstRow="0" w:lastRow="0" w:firstColumn="0" w:lastColumn="0" w:noHBand="0" w:noVBand="0"/>
      </w:tblPr>
      <w:tblGrid>
        <w:gridCol w:w="1080"/>
        <w:gridCol w:w="5257"/>
      </w:tblGrid>
      <w:tr w:rsidR="006770F2" w:rsidRPr="0025048F">
        <w:trPr>
          <w:cantSplit/>
        </w:trPr>
        <w:tc>
          <w:tcPr>
            <w:tcW w:w="1080" w:type="dxa"/>
          </w:tcPr>
          <w:p w:rsidR="006770F2" w:rsidRPr="0025048F" w:rsidRDefault="006770F2">
            <w:pPr>
              <w:tabs>
                <w:tab w:val="left" w:pos="1152"/>
                <w:tab w:val="left" w:pos="5292"/>
              </w:tabs>
              <w:ind w:right="-108"/>
              <w:rPr>
                <w:sz w:val="20"/>
                <w:szCs w:val="18"/>
              </w:rPr>
            </w:pPr>
            <w:r w:rsidRPr="0025048F">
              <w:rPr>
                <w:sz w:val="20"/>
                <w:szCs w:val="18"/>
              </w:rPr>
              <w:t>SPONSOR:</w:t>
            </w:r>
          </w:p>
        </w:tc>
        <w:tc>
          <w:tcPr>
            <w:tcW w:w="5257" w:type="dxa"/>
          </w:tcPr>
          <w:p w:rsidR="006770F2" w:rsidRPr="0025048F" w:rsidRDefault="00200AC0">
            <w:pPr>
              <w:tabs>
                <w:tab w:val="left" w:pos="3312"/>
                <w:tab w:val="left" w:pos="5292"/>
              </w:tabs>
              <w:ind w:left="-108"/>
              <w:rPr>
                <w:sz w:val="20"/>
                <w:szCs w:val="18"/>
              </w:rPr>
            </w:pPr>
            <w:r>
              <w:rPr>
                <w:sz w:val="20"/>
                <w:szCs w:val="18"/>
              </w:rPr>
              <w:t>Rep. Bolden &amp; Rep. Scott &amp; Sen. Henry</w:t>
            </w:r>
          </w:p>
        </w:tc>
      </w:tr>
      <w:tr w:rsidR="00200AC0" w:rsidRPr="0025048F" w:rsidTr="003D6844">
        <w:trPr>
          <w:gridBefore w:val="1"/>
          <w:wBefore w:w="1080" w:type="dxa"/>
          <w:cantSplit/>
        </w:trPr>
        <w:tc>
          <w:tcPr>
            <w:tcW w:w="5257" w:type="dxa"/>
          </w:tcPr>
          <w:p w:rsidR="00200AC0" w:rsidRPr="0025048F" w:rsidRDefault="00200AC0">
            <w:pPr>
              <w:ind w:left="-108"/>
              <w:rPr>
                <w:sz w:val="20"/>
                <w:szCs w:val="18"/>
              </w:rPr>
            </w:pPr>
            <w:r>
              <w:rPr>
                <w:sz w:val="20"/>
                <w:szCs w:val="18"/>
              </w:rPr>
              <w:t>Reps. Brady, Gray, Potter, Ramone</w:t>
            </w:r>
            <w:bookmarkStart w:id="0" w:name="_GoBack"/>
            <w:bookmarkEnd w:id="0"/>
          </w:p>
        </w:tc>
      </w:tr>
    </w:tbl>
    <w:p w:rsidR="006770F2" w:rsidRPr="0025048F" w:rsidRDefault="006770F2">
      <w:pPr>
        <w:rPr>
          <w:sz w:val="20"/>
        </w:rPr>
      </w:pPr>
    </w:p>
    <w:p w:rsidR="006770F2" w:rsidRPr="0025048F" w:rsidRDefault="0025048F">
      <w:pPr>
        <w:jc w:val="center"/>
        <w:rPr>
          <w:sz w:val="20"/>
        </w:rPr>
      </w:pPr>
      <w:bookmarkStart w:id="1" w:name="REPRESENTATIVE"/>
      <w:bookmarkEnd w:id="1"/>
      <w:r w:rsidRPr="0025048F">
        <w:rPr>
          <w:sz w:val="20"/>
        </w:rPr>
        <w:t>HOUSE OF REPRESENTATIVES</w:t>
      </w:r>
    </w:p>
    <w:p w:rsidR="006770F2" w:rsidRPr="0025048F" w:rsidRDefault="006770F2">
      <w:pPr>
        <w:jc w:val="center"/>
        <w:rPr>
          <w:sz w:val="20"/>
        </w:rPr>
      </w:pPr>
    </w:p>
    <w:p w:rsidR="0025048F" w:rsidRPr="0025048F" w:rsidRDefault="0025048F">
      <w:pPr>
        <w:jc w:val="center"/>
        <w:rPr>
          <w:sz w:val="20"/>
        </w:rPr>
      </w:pPr>
      <w:bookmarkStart w:id="2" w:name="GenAssembly"/>
      <w:bookmarkEnd w:id="2"/>
      <w:r w:rsidRPr="0025048F">
        <w:rPr>
          <w:sz w:val="20"/>
        </w:rPr>
        <w:t>147th GENERAL ASSEMBLY</w:t>
      </w:r>
    </w:p>
    <w:p w:rsidR="006770F2" w:rsidRPr="0025048F" w:rsidRDefault="006770F2">
      <w:pPr>
        <w:jc w:val="center"/>
        <w:rPr>
          <w:sz w:val="20"/>
        </w:rPr>
      </w:pPr>
    </w:p>
    <w:p w:rsidR="006770F2" w:rsidRPr="0025048F" w:rsidRDefault="006770F2">
      <w:pPr>
        <w:jc w:val="center"/>
        <w:rPr>
          <w:sz w:val="20"/>
        </w:rPr>
      </w:pPr>
    </w:p>
    <w:tbl>
      <w:tblPr>
        <w:tblW w:w="0" w:type="auto"/>
        <w:tblInd w:w="3254" w:type="dxa"/>
        <w:tblLayout w:type="fixed"/>
        <w:tblLook w:val="0000" w:firstRow="0" w:lastRow="0" w:firstColumn="0" w:lastColumn="0" w:noHBand="0" w:noVBand="0"/>
      </w:tblPr>
      <w:tblGrid>
        <w:gridCol w:w="4324"/>
      </w:tblGrid>
      <w:tr w:rsidR="006770F2" w:rsidRPr="0025048F" w:rsidTr="00223368">
        <w:tc>
          <w:tcPr>
            <w:tcW w:w="4324" w:type="dxa"/>
          </w:tcPr>
          <w:p w:rsidR="00027086" w:rsidRDefault="00027086" w:rsidP="00223368">
            <w:pPr>
              <w:jc w:val="center"/>
              <w:rPr>
                <w:sz w:val="20"/>
              </w:rPr>
            </w:pPr>
            <w:r>
              <w:rPr>
                <w:sz w:val="20"/>
              </w:rPr>
              <w:t>HOUSE BILL NO. 295</w:t>
            </w:r>
          </w:p>
          <w:p w:rsidR="00027086" w:rsidRDefault="00027086" w:rsidP="00223368">
            <w:pPr>
              <w:jc w:val="center"/>
              <w:rPr>
                <w:sz w:val="20"/>
              </w:rPr>
            </w:pPr>
            <w:r>
              <w:rPr>
                <w:sz w:val="20"/>
              </w:rPr>
              <w:t>AS AMENDED BY</w:t>
            </w:r>
          </w:p>
          <w:p w:rsidR="00027086" w:rsidRDefault="00027086" w:rsidP="00223368">
            <w:pPr>
              <w:jc w:val="center"/>
              <w:rPr>
                <w:sz w:val="20"/>
              </w:rPr>
            </w:pPr>
            <w:r>
              <w:rPr>
                <w:sz w:val="20"/>
              </w:rPr>
              <w:t>HOUSE AMENDMENT NOS. 1 &amp; 2</w:t>
            </w:r>
          </w:p>
          <w:p w:rsidR="00027086" w:rsidRDefault="00027086" w:rsidP="00223368">
            <w:pPr>
              <w:jc w:val="center"/>
              <w:rPr>
                <w:sz w:val="20"/>
              </w:rPr>
            </w:pPr>
            <w:r>
              <w:rPr>
                <w:sz w:val="20"/>
              </w:rPr>
              <w:t>AND</w:t>
            </w:r>
          </w:p>
          <w:p w:rsidR="00223368" w:rsidRPr="0025048F" w:rsidRDefault="00027086" w:rsidP="00223368">
            <w:pPr>
              <w:jc w:val="center"/>
              <w:rPr>
                <w:sz w:val="20"/>
              </w:rPr>
            </w:pPr>
            <w:r>
              <w:rPr>
                <w:sz w:val="20"/>
              </w:rPr>
              <w:t>SENATE AMENDMENT NO. 1</w:t>
            </w:r>
          </w:p>
        </w:tc>
      </w:tr>
    </w:tbl>
    <w:p w:rsidR="006770F2" w:rsidRPr="0025048F" w:rsidRDefault="006770F2">
      <w:pPr>
        <w:jc w:val="center"/>
        <w:rPr>
          <w:sz w:val="20"/>
        </w:rPr>
        <w:sectPr w:rsidR="006770F2" w:rsidRPr="0025048F" w:rsidSect="00CF322C">
          <w:footerReference w:type="default" r:id="rId8"/>
          <w:type w:val="continuous"/>
          <w:pgSz w:w="12240" w:h="15840" w:code="1"/>
          <w:pgMar w:top="720" w:right="634" w:bottom="1080" w:left="1008" w:header="720" w:footer="720" w:gutter="0"/>
          <w:cols w:space="720"/>
          <w:docGrid w:linePitch="299"/>
        </w:sectPr>
      </w:pPr>
      <w:r w:rsidRPr="0025048F">
        <w:rPr>
          <w:sz w:val="20"/>
        </w:rPr>
        <w:t xml:space="preserve"> </w:t>
      </w:r>
    </w:p>
    <w:p w:rsidR="006770F2" w:rsidRPr="0025048F" w:rsidRDefault="006770F2">
      <w:pPr>
        <w:jc w:val="center"/>
        <w:rPr>
          <w:sz w:val="20"/>
        </w:rPr>
      </w:pPr>
    </w:p>
    <w:p w:rsidR="006770F2" w:rsidRPr="0025048F" w:rsidRDefault="0025048F" w:rsidP="0072075D">
      <w:pPr>
        <w:pStyle w:val="Header"/>
        <w:tabs>
          <w:tab w:val="clear" w:pos="4320"/>
          <w:tab w:val="clear" w:pos="8640"/>
        </w:tabs>
        <w:ind w:left="540"/>
        <w:rPr>
          <w:sz w:val="20"/>
        </w:rPr>
        <w:sectPr w:rsidR="006770F2" w:rsidRPr="0025048F" w:rsidSect="00CF322C">
          <w:type w:val="continuous"/>
          <w:pgSz w:w="12240" w:h="15840" w:code="1"/>
          <w:pgMar w:top="720" w:right="634" w:bottom="1080" w:left="1008" w:header="720" w:footer="720" w:gutter="0"/>
          <w:cols w:space="720"/>
          <w:docGrid w:linePitch="299"/>
        </w:sectPr>
      </w:pPr>
      <w:bookmarkStart w:id="4" w:name="LongTitle"/>
      <w:bookmarkEnd w:id="4"/>
      <w:r w:rsidRPr="0025048F">
        <w:rPr>
          <w:sz w:val="20"/>
        </w:rPr>
        <w:t>AN ACT TO AMEND TITLE 6 OF THE DELAWARE CODE RELATING TO COMMERCE AND TRADE AND THE SAFE DESTRUCTION OF DOCUMENTS CONTAINING PERSONAL IDENTIFYING INFORMATION.</w:t>
      </w:r>
      <w:r w:rsidR="006770F2" w:rsidRPr="0025048F">
        <w:rPr>
          <w:sz w:val="20"/>
        </w:rPr>
        <w:t xml:space="preserve"> </w:t>
      </w:r>
    </w:p>
    <w:p w:rsidR="0072075D" w:rsidRDefault="0072075D" w:rsidP="0025048F">
      <w:pPr>
        <w:jc w:val="both"/>
        <w:rPr>
          <w:sz w:val="20"/>
        </w:rPr>
      </w:pPr>
      <w:bookmarkStart w:id="5" w:name="Begin"/>
      <w:bookmarkEnd w:id="5"/>
    </w:p>
    <w:p w:rsidR="0025048F" w:rsidRPr="0025048F" w:rsidRDefault="0025048F" w:rsidP="0025048F">
      <w:pPr>
        <w:jc w:val="both"/>
        <w:rPr>
          <w:sz w:val="20"/>
        </w:rPr>
      </w:pPr>
      <w:r w:rsidRPr="0025048F">
        <w:rPr>
          <w:sz w:val="20"/>
        </w:rPr>
        <w:t>BE IT ENACTED BY THE GENERAL ASSEMBLY OF THE STATE OF DELAWARE:</w:t>
      </w:r>
    </w:p>
    <w:p w:rsidR="0025048F" w:rsidRPr="0025048F" w:rsidRDefault="0025048F" w:rsidP="0025048F">
      <w:pPr>
        <w:jc w:val="both"/>
        <w:rPr>
          <w:sz w:val="20"/>
        </w:rPr>
      </w:pPr>
    </w:p>
    <w:p w:rsidR="0025048F" w:rsidRPr="0025048F" w:rsidRDefault="0025048F" w:rsidP="0025048F">
      <w:pPr>
        <w:spacing w:line="480" w:lineRule="auto"/>
        <w:ind w:firstLine="720"/>
        <w:jc w:val="both"/>
        <w:rPr>
          <w:sz w:val="20"/>
          <w:u w:val="single"/>
        </w:rPr>
        <w:sectPr w:rsidR="0025048F" w:rsidRPr="0025048F" w:rsidSect="00CF322C">
          <w:type w:val="continuous"/>
          <w:pgSz w:w="12240" w:h="15840" w:code="1"/>
          <w:pgMar w:top="1152" w:right="720" w:bottom="576" w:left="1584" w:header="288" w:footer="720" w:gutter="0"/>
          <w:cols w:space="720"/>
          <w:formProt w:val="0"/>
          <w:docGrid w:linePitch="299"/>
        </w:sectPr>
      </w:pPr>
    </w:p>
    <w:p w:rsidR="0025048F" w:rsidRPr="0025048F" w:rsidRDefault="00BE1222" w:rsidP="00BE1222">
      <w:pPr>
        <w:spacing w:line="420" w:lineRule="exact"/>
        <w:ind w:firstLine="720"/>
        <w:jc w:val="both"/>
        <w:rPr>
          <w:sz w:val="20"/>
        </w:rPr>
      </w:pPr>
      <w:r>
        <w:rPr>
          <w:sz w:val="20"/>
        </w:rPr>
        <w:lastRenderedPageBreak/>
        <w:t xml:space="preserve">Section 1. </w:t>
      </w:r>
      <w:r w:rsidR="0025048F" w:rsidRPr="0025048F">
        <w:rPr>
          <w:sz w:val="20"/>
        </w:rPr>
        <w:t>Amend Title 6, Subtitle II, of the Delaware Code by making deletions as shown by strike through and insertions as shown by underline as follows:</w:t>
      </w:r>
    </w:p>
    <w:p w:rsidR="0025048F" w:rsidRPr="0025048F" w:rsidRDefault="0025048F" w:rsidP="00BE1222">
      <w:pPr>
        <w:spacing w:line="420" w:lineRule="exact"/>
        <w:ind w:firstLine="720"/>
        <w:rPr>
          <w:sz w:val="20"/>
          <w:u w:val="single"/>
        </w:rPr>
      </w:pPr>
      <w:r w:rsidRPr="0025048F">
        <w:rPr>
          <w:sz w:val="20"/>
          <w:u w:val="single"/>
        </w:rPr>
        <w:t xml:space="preserve">CHAPTER 50C.  SAFE DESTRUCTION OF </w:t>
      </w:r>
      <w:r w:rsidR="00B35329">
        <w:rPr>
          <w:sz w:val="20"/>
          <w:u w:val="single"/>
        </w:rPr>
        <w:t>RECORDS</w:t>
      </w:r>
      <w:r w:rsidRPr="0025048F">
        <w:rPr>
          <w:sz w:val="20"/>
          <w:u w:val="single"/>
        </w:rPr>
        <w:t xml:space="preserve"> CONTAINING PERSONAL IDENTIFYING INFORMATION</w:t>
      </w:r>
    </w:p>
    <w:p w:rsidR="0025048F" w:rsidRPr="0025048F" w:rsidRDefault="0025048F" w:rsidP="00BE1222">
      <w:pPr>
        <w:spacing w:line="420" w:lineRule="exact"/>
        <w:ind w:firstLine="720"/>
        <w:jc w:val="both"/>
        <w:rPr>
          <w:sz w:val="20"/>
          <w:u w:val="single"/>
        </w:rPr>
      </w:pPr>
      <w:r w:rsidRPr="0025048F">
        <w:rPr>
          <w:sz w:val="20"/>
          <w:u w:val="single"/>
        </w:rPr>
        <w:t>§50C-101. Definitions.</w:t>
      </w:r>
    </w:p>
    <w:p w:rsidR="0025048F" w:rsidRPr="0025048F" w:rsidRDefault="0025048F" w:rsidP="00BE1222">
      <w:pPr>
        <w:spacing w:line="420" w:lineRule="exact"/>
        <w:ind w:firstLine="720"/>
        <w:jc w:val="both"/>
        <w:rPr>
          <w:sz w:val="20"/>
          <w:u w:val="single"/>
        </w:rPr>
      </w:pPr>
      <w:r w:rsidRPr="0025048F">
        <w:rPr>
          <w:sz w:val="20"/>
          <w:u w:val="single"/>
        </w:rPr>
        <w:t>For purposes of this chapter:</w:t>
      </w:r>
    </w:p>
    <w:p w:rsidR="0025048F" w:rsidRPr="0025048F" w:rsidRDefault="0025048F" w:rsidP="00BE1222">
      <w:pPr>
        <w:spacing w:line="420" w:lineRule="exact"/>
        <w:ind w:left="720" w:firstLine="720"/>
        <w:jc w:val="both"/>
        <w:rPr>
          <w:sz w:val="20"/>
          <w:u w:val="single"/>
        </w:rPr>
      </w:pPr>
      <w:r w:rsidRPr="0025048F">
        <w:rPr>
          <w:sz w:val="20"/>
          <w:u w:val="single"/>
        </w:rPr>
        <w:t xml:space="preserve">(1) "Commercial entity" means a corporation, business trust, estate, trust, partnership, limited partnership, limited liability partnership, limited liability company, association, organization, joint venture, or other legal entity, whether or not for profit. </w:t>
      </w:r>
    </w:p>
    <w:p w:rsidR="0025048F" w:rsidRPr="0025048F" w:rsidRDefault="0025048F" w:rsidP="00BE1222">
      <w:pPr>
        <w:spacing w:line="420" w:lineRule="exact"/>
        <w:ind w:left="720" w:firstLine="720"/>
        <w:jc w:val="both"/>
        <w:rPr>
          <w:sz w:val="20"/>
          <w:u w:val="single"/>
        </w:rPr>
      </w:pPr>
      <w:r w:rsidRPr="0025048F">
        <w:rPr>
          <w:sz w:val="20"/>
          <w:u w:val="single"/>
        </w:rPr>
        <w:t>(2) "Consumer" means an individual who enters into a transaction primarily for personal, family, or household purposes</w:t>
      </w:r>
      <w:r w:rsidR="00E077DE">
        <w:rPr>
          <w:sz w:val="20"/>
          <w:u w:val="single"/>
        </w:rPr>
        <w:t xml:space="preserve"> except employees</w:t>
      </w:r>
      <w:r w:rsidRPr="0025048F">
        <w:rPr>
          <w:sz w:val="20"/>
          <w:u w:val="single"/>
        </w:rPr>
        <w:t xml:space="preserve">. </w:t>
      </w:r>
    </w:p>
    <w:p w:rsidR="0025048F" w:rsidRPr="0025048F" w:rsidRDefault="0025048F" w:rsidP="00BE1222">
      <w:pPr>
        <w:spacing w:line="420" w:lineRule="exact"/>
        <w:ind w:left="720" w:firstLine="720"/>
        <w:jc w:val="both"/>
        <w:rPr>
          <w:sz w:val="20"/>
          <w:u w:val="single"/>
        </w:rPr>
      </w:pPr>
      <w:r w:rsidRPr="0025048F">
        <w:rPr>
          <w:sz w:val="20"/>
          <w:u w:val="single"/>
        </w:rPr>
        <w:t>(3) "Personal identifying information" means a consumer’s first name or first initial and last name in combination with any 1 of the following data elements that relate to the consumer, when either the name or the da</w:t>
      </w:r>
      <w:r w:rsidR="00AE03C8">
        <w:rPr>
          <w:sz w:val="20"/>
          <w:u w:val="single"/>
        </w:rPr>
        <w:t xml:space="preserve">ta elements are not encrypted: </w:t>
      </w:r>
      <w:r w:rsidRPr="0025048F">
        <w:rPr>
          <w:sz w:val="20"/>
          <w:u w:val="single"/>
        </w:rPr>
        <w:t xml:space="preserve">social security number, passport number, driver's license or state identification card number, insurance policy number, financial services account number, bank account number, credit card number, debit card number, </w:t>
      </w:r>
      <w:r w:rsidR="00B35329">
        <w:rPr>
          <w:sz w:val="20"/>
          <w:u w:val="single"/>
        </w:rPr>
        <w:t>tax or payroll information</w:t>
      </w:r>
      <w:r w:rsidRPr="0025048F">
        <w:rPr>
          <w:sz w:val="20"/>
          <w:u w:val="single"/>
        </w:rPr>
        <w:t xml:space="preserve"> or confidential health care information including all </w:t>
      </w:r>
      <w:r w:rsidRPr="0025048F">
        <w:rPr>
          <w:sz w:val="20"/>
          <w:u w:val="single"/>
        </w:rPr>
        <w:lastRenderedPageBreak/>
        <w:t>information relating to a patient's health care history, diagnosis condition, treatment, or evaluation obtained from a health care provider who has treated the patient which explicitly or by implication identifies a particular patient.</w:t>
      </w:r>
    </w:p>
    <w:p w:rsidR="0025048F" w:rsidRPr="0025048F" w:rsidRDefault="0025048F" w:rsidP="00BE1222">
      <w:pPr>
        <w:spacing w:line="420" w:lineRule="exact"/>
        <w:ind w:left="720" w:firstLine="720"/>
        <w:jc w:val="both"/>
        <w:rPr>
          <w:sz w:val="20"/>
          <w:u w:val="single"/>
        </w:rPr>
      </w:pPr>
      <w:r w:rsidRPr="0025048F">
        <w:rPr>
          <w:sz w:val="20"/>
          <w:u w:val="single"/>
        </w:rPr>
        <w:t xml:space="preserve">(4) "Record" means information that is inscribed on a tangible medium, or that is stored in an electronic or other medium and is retrievable in perceivable form on which personal </w:t>
      </w:r>
      <w:r w:rsidR="00B35329">
        <w:rPr>
          <w:sz w:val="20"/>
          <w:u w:val="single"/>
        </w:rPr>
        <w:t xml:space="preserve">identifying </w:t>
      </w:r>
      <w:r w:rsidRPr="0025048F">
        <w:rPr>
          <w:sz w:val="20"/>
          <w:u w:val="single"/>
        </w:rPr>
        <w:t xml:space="preserve">information is recorded or preserved.  “Record” does not include publicly available directories </w:t>
      </w:r>
      <w:r w:rsidR="00B35329">
        <w:rPr>
          <w:sz w:val="20"/>
          <w:u w:val="single"/>
        </w:rPr>
        <w:t xml:space="preserve">or sources </w:t>
      </w:r>
      <w:r w:rsidRPr="0025048F">
        <w:rPr>
          <w:sz w:val="20"/>
          <w:u w:val="single"/>
        </w:rPr>
        <w:t>containing information a consumer has voluntarily consented to have publicly disseminated or listed</w:t>
      </w:r>
      <w:r w:rsidR="00B35329">
        <w:rPr>
          <w:sz w:val="20"/>
          <w:u w:val="single"/>
        </w:rPr>
        <w:t xml:space="preserve"> </w:t>
      </w:r>
      <w:r w:rsidR="00B35329" w:rsidRPr="0025048F">
        <w:rPr>
          <w:rFonts w:eastAsia="Calibri"/>
          <w:sz w:val="20"/>
          <w:u w:val="single"/>
        </w:rPr>
        <w:t>or which is disseminated as provided for by applicable law or regulation</w:t>
      </w:r>
      <w:r w:rsidRPr="0025048F">
        <w:rPr>
          <w:sz w:val="20"/>
          <w:u w:val="single"/>
        </w:rPr>
        <w:t xml:space="preserve">, such as name, address, or telephone number, or other directories </w:t>
      </w:r>
      <w:r w:rsidR="00B35329">
        <w:rPr>
          <w:sz w:val="20"/>
          <w:u w:val="single"/>
        </w:rPr>
        <w:t xml:space="preserve">or sources </w:t>
      </w:r>
      <w:r w:rsidRPr="0025048F">
        <w:rPr>
          <w:sz w:val="20"/>
          <w:u w:val="single"/>
        </w:rPr>
        <w:t>as are derived solely from such directories</w:t>
      </w:r>
      <w:r w:rsidR="00B35329">
        <w:rPr>
          <w:sz w:val="20"/>
          <w:u w:val="single"/>
        </w:rPr>
        <w:t xml:space="preserve"> or sources</w:t>
      </w:r>
      <w:r w:rsidRPr="0025048F">
        <w:rPr>
          <w:sz w:val="20"/>
          <w:u w:val="single"/>
        </w:rPr>
        <w:t xml:space="preserve">. </w:t>
      </w:r>
    </w:p>
    <w:p w:rsidR="00B35329" w:rsidRPr="0025048F" w:rsidRDefault="00B35329" w:rsidP="00BE1222">
      <w:pPr>
        <w:spacing w:line="420" w:lineRule="exact"/>
        <w:ind w:firstLine="720"/>
        <w:jc w:val="both"/>
        <w:rPr>
          <w:sz w:val="20"/>
          <w:u w:val="single"/>
        </w:rPr>
      </w:pPr>
      <w:r w:rsidRPr="0025048F">
        <w:rPr>
          <w:sz w:val="20"/>
          <w:u w:val="single"/>
        </w:rPr>
        <w:t>§50C-102. Safe destruction of records.</w:t>
      </w:r>
    </w:p>
    <w:p w:rsidR="0025048F" w:rsidRPr="0025048F" w:rsidRDefault="00B35329" w:rsidP="00BE1222">
      <w:pPr>
        <w:spacing w:line="420" w:lineRule="exact"/>
        <w:ind w:firstLine="720"/>
        <w:jc w:val="both"/>
        <w:rPr>
          <w:sz w:val="20"/>
          <w:u w:val="single"/>
        </w:rPr>
      </w:pPr>
      <w:r w:rsidRPr="0025048F">
        <w:rPr>
          <w:sz w:val="20"/>
          <w:u w:val="single"/>
        </w:rPr>
        <w:t>In the event that a commercial entity seeks permanently to dispose of records containing consumers’ personal identifying information within its custody or control, such commercial entity shall take reasonable steps to destroy or arrange for the destruction of each such record by shredding, erasing, or otherwise destroying or modifying the personal identifying information in those records to make it  unreadable or indecipherable.</w:t>
      </w:r>
    </w:p>
    <w:p w:rsidR="0025048F" w:rsidRPr="0025048F" w:rsidRDefault="0025048F" w:rsidP="00BE1222">
      <w:pPr>
        <w:tabs>
          <w:tab w:val="left" w:pos="3282"/>
        </w:tabs>
        <w:spacing w:line="420" w:lineRule="exact"/>
        <w:ind w:firstLine="720"/>
        <w:jc w:val="both"/>
        <w:rPr>
          <w:sz w:val="20"/>
          <w:u w:val="single"/>
        </w:rPr>
      </w:pPr>
      <w:r w:rsidRPr="0025048F">
        <w:rPr>
          <w:sz w:val="20"/>
          <w:u w:val="single"/>
        </w:rPr>
        <w:t>§50C-103.Violations.</w:t>
      </w:r>
    </w:p>
    <w:p w:rsidR="0025048F" w:rsidRPr="0025048F" w:rsidRDefault="00420F91" w:rsidP="00BE1222">
      <w:pPr>
        <w:spacing w:line="420" w:lineRule="exact"/>
        <w:ind w:firstLine="720"/>
        <w:jc w:val="both"/>
        <w:rPr>
          <w:sz w:val="20"/>
          <w:u w:val="single"/>
        </w:rPr>
      </w:pPr>
      <w:r w:rsidRPr="0025048F">
        <w:rPr>
          <w:rFonts w:eastAsia="Calibri"/>
          <w:sz w:val="20"/>
          <w:szCs w:val="22"/>
          <w:u w:val="single"/>
        </w:rPr>
        <w:t>A consumer who incurs actual damages due to a reckless or intentional violation of this chapter may bring a civil action against the commercial entity.</w:t>
      </w:r>
    </w:p>
    <w:p w:rsidR="0025048F" w:rsidRPr="0025048F" w:rsidRDefault="0025048F" w:rsidP="00BE1222">
      <w:pPr>
        <w:spacing w:line="420" w:lineRule="exact"/>
        <w:ind w:firstLine="720"/>
        <w:jc w:val="both"/>
        <w:rPr>
          <w:sz w:val="20"/>
          <w:u w:val="single"/>
        </w:rPr>
      </w:pPr>
      <w:r w:rsidRPr="0025048F">
        <w:rPr>
          <w:sz w:val="20"/>
          <w:u w:val="single"/>
        </w:rPr>
        <w:t>§50C-104. Exemptions.</w:t>
      </w:r>
    </w:p>
    <w:p w:rsidR="0025048F" w:rsidRPr="0025048F" w:rsidRDefault="0025048F" w:rsidP="00BE1222">
      <w:pPr>
        <w:spacing w:line="420" w:lineRule="exact"/>
        <w:ind w:firstLine="720"/>
        <w:jc w:val="both"/>
        <w:rPr>
          <w:sz w:val="20"/>
          <w:u w:val="single"/>
        </w:rPr>
      </w:pPr>
      <w:r w:rsidRPr="0025048F">
        <w:rPr>
          <w:sz w:val="20"/>
          <w:u w:val="single"/>
        </w:rPr>
        <w:t>This chapter does not apply to any of the following:</w:t>
      </w:r>
    </w:p>
    <w:p w:rsidR="0025048F" w:rsidRPr="0025048F" w:rsidRDefault="0025048F" w:rsidP="00BE1222">
      <w:pPr>
        <w:spacing w:line="420" w:lineRule="exact"/>
        <w:ind w:left="720" w:firstLine="720"/>
        <w:jc w:val="both"/>
        <w:rPr>
          <w:sz w:val="20"/>
          <w:u w:val="single"/>
        </w:rPr>
      </w:pPr>
      <w:r w:rsidRPr="0025048F">
        <w:rPr>
          <w:sz w:val="20"/>
          <w:u w:val="single"/>
        </w:rPr>
        <w:t>(1) Any bank, credit union, or financial institution, as defined under the federal Gramm Leach Bliley Law, that is subject to the regulation of the Office of the Comptroller of Currency, the Federal Reserve, the National Credit Union Administration, the Securities and Exchange Commission, the Federal Deposit Insurance Corporation, the Office of Thrift Supervision and the U.S.</w:t>
      </w:r>
      <w:r w:rsidR="00420F91">
        <w:rPr>
          <w:sz w:val="20"/>
          <w:u w:val="single"/>
        </w:rPr>
        <w:t xml:space="preserve"> Department of the Treasury, </w:t>
      </w:r>
      <w:r w:rsidRPr="0025048F">
        <w:rPr>
          <w:sz w:val="20"/>
          <w:u w:val="single"/>
        </w:rPr>
        <w:t>the Department of Business Regulation</w:t>
      </w:r>
      <w:r w:rsidR="00420F91" w:rsidRPr="0025048F">
        <w:rPr>
          <w:rFonts w:eastAsia="Calibri"/>
          <w:color w:val="000000" w:themeColor="text1"/>
          <w:sz w:val="20"/>
          <w:u w:val="single"/>
        </w:rPr>
        <w:t>, or the Delaware Department of Insurance</w:t>
      </w:r>
      <w:r w:rsidRPr="0025048F">
        <w:rPr>
          <w:sz w:val="20"/>
          <w:u w:val="single"/>
        </w:rPr>
        <w:t xml:space="preserve"> and is subject to the privacy and security provisions of the Gramm Leach Bliley Act, 15 U.S.C. section 6801 et seq, as amended;</w:t>
      </w:r>
    </w:p>
    <w:p w:rsidR="0025048F" w:rsidRPr="0025048F" w:rsidRDefault="0025048F" w:rsidP="00BE1222">
      <w:pPr>
        <w:spacing w:line="420" w:lineRule="exact"/>
        <w:ind w:left="720" w:firstLine="720"/>
        <w:jc w:val="both"/>
        <w:rPr>
          <w:sz w:val="20"/>
          <w:u w:val="single"/>
        </w:rPr>
      </w:pPr>
      <w:r w:rsidRPr="0025048F">
        <w:rPr>
          <w:sz w:val="20"/>
          <w:u w:val="single"/>
        </w:rPr>
        <w:t>(2) Any health insurer or health care facility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25048F" w:rsidRPr="0025048F" w:rsidRDefault="0025048F" w:rsidP="00BE1222">
      <w:pPr>
        <w:spacing w:line="420" w:lineRule="exact"/>
        <w:ind w:left="720" w:firstLine="720"/>
        <w:jc w:val="both"/>
        <w:rPr>
          <w:sz w:val="20"/>
          <w:u w:val="single"/>
        </w:rPr>
      </w:pPr>
      <w:r w:rsidRPr="0025048F">
        <w:rPr>
          <w:sz w:val="20"/>
          <w:u w:val="single"/>
        </w:rPr>
        <w:t>(3) Any consumer report agency that is subject to and in compliance with the Federal Credit Reporting Act, 15 U.S.C. section 1681 et seq., as amended; or</w:t>
      </w:r>
    </w:p>
    <w:p w:rsidR="0025048F" w:rsidRPr="0025048F" w:rsidRDefault="0025048F" w:rsidP="00BE1222">
      <w:pPr>
        <w:spacing w:line="420" w:lineRule="exact"/>
        <w:ind w:left="720" w:firstLine="720"/>
        <w:jc w:val="both"/>
        <w:rPr>
          <w:sz w:val="20"/>
          <w:u w:val="single"/>
        </w:rPr>
      </w:pPr>
      <w:r w:rsidRPr="0025048F">
        <w:rPr>
          <w:sz w:val="20"/>
          <w:u w:val="single"/>
        </w:rPr>
        <w:t>(4) Any government, governmental subdivision, agency, or instrumentality.</w:t>
      </w:r>
    </w:p>
    <w:p w:rsidR="0025048F" w:rsidRPr="0025048F" w:rsidRDefault="00BE1222" w:rsidP="00BE1222">
      <w:pPr>
        <w:spacing w:line="420" w:lineRule="exact"/>
        <w:ind w:firstLine="720"/>
        <w:jc w:val="both"/>
        <w:rPr>
          <w:sz w:val="20"/>
        </w:rPr>
      </w:pPr>
      <w:r>
        <w:rPr>
          <w:sz w:val="20"/>
        </w:rPr>
        <w:t xml:space="preserve">Section 2. </w:t>
      </w:r>
      <w:r w:rsidR="0025048F" w:rsidRPr="0025048F">
        <w:rPr>
          <w:sz w:val="20"/>
        </w:rPr>
        <w:t>This Act shall take effect January 1, 2015.</w:t>
      </w:r>
    </w:p>
    <w:sectPr w:rsidR="0025048F" w:rsidRPr="0025048F" w:rsidSect="00CF322C">
      <w:type w:val="continuous"/>
      <w:pgSz w:w="12240" w:h="15840" w:code="1"/>
      <w:pgMar w:top="1152" w:right="720" w:bottom="576" w:left="1584" w:header="288" w:footer="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1E" w:rsidRDefault="005B1B1E">
      <w:r>
        <w:separator/>
      </w:r>
    </w:p>
  </w:endnote>
  <w:endnote w:type="continuationSeparator" w:id="0">
    <w:p w:rsidR="005B1B1E" w:rsidRDefault="005B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6770F2">
    <w:pPr>
      <w:pStyle w:val="Footer"/>
      <w:jc w:val="center"/>
      <w:rPr>
        <w:snapToGrid w:val="0"/>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5B1B1E">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5B1B1E">
      <w:rPr>
        <w:noProof/>
        <w:snapToGrid w:val="0"/>
        <w:sz w:val="20"/>
      </w:rPr>
      <w:t>2</w:t>
    </w:r>
    <w:r>
      <w:rPr>
        <w:snapToGrid w:val="0"/>
        <w:sz w:val="20"/>
      </w:rPr>
      <w:fldChar w:fldCharType="end"/>
    </w:r>
  </w:p>
  <w:p w:rsidR="0025048F" w:rsidRDefault="0025048F">
    <w:pPr>
      <w:pStyle w:val="Footer"/>
      <w:rPr>
        <w:snapToGrid w:val="0"/>
        <w:sz w:val="20"/>
      </w:rPr>
    </w:pPr>
    <w:bookmarkStart w:id="3" w:name="DeptInitials"/>
    <w:bookmarkEnd w:id="3"/>
    <w:r>
      <w:rPr>
        <w:snapToGrid w:val="0"/>
        <w:sz w:val="20"/>
      </w:rPr>
      <w:t>LC : WGB : RAY:1901470771</w:t>
    </w:r>
  </w:p>
  <w:p w:rsidR="006770F2" w:rsidRDefault="0025048F">
    <w:pPr>
      <w:pStyle w:val="Footer"/>
      <w:rPr>
        <w:sz w:val="20"/>
      </w:rPr>
    </w:pPr>
    <w:r>
      <w:rPr>
        <w:snapToGrid w:val="0"/>
        <w:sz w:val="20"/>
      </w:rPr>
      <w:t>LC : MJC : RAY:4801470155</w:t>
    </w:r>
    <w:r w:rsidR="006770F2">
      <w:rPr>
        <w:snapToGrid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1E" w:rsidRDefault="005B1B1E">
      <w:r>
        <w:separator/>
      </w:r>
    </w:p>
  </w:footnote>
  <w:footnote w:type="continuationSeparator" w:id="0">
    <w:p w:rsidR="005B1B1E" w:rsidRDefault="005B1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8F"/>
    <w:rsid w:val="00027086"/>
    <w:rsid w:val="000327A5"/>
    <w:rsid w:val="000D7216"/>
    <w:rsid w:val="0014761C"/>
    <w:rsid w:val="001539F2"/>
    <w:rsid w:val="00200AC0"/>
    <w:rsid w:val="00223368"/>
    <w:rsid w:val="0025048F"/>
    <w:rsid w:val="0025623A"/>
    <w:rsid w:val="00267C2A"/>
    <w:rsid w:val="003603C4"/>
    <w:rsid w:val="003874D8"/>
    <w:rsid w:val="003965CF"/>
    <w:rsid w:val="003B04A0"/>
    <w:rsid w:val="003D0095"/>
    <w:rsid w:val="004203BE"/>
    <w:rsid w:val="00420F91"/>
    <w:rsid w:val="004D7DEA"/>
    <w:rsid w:val="00510C5E"/>
    <w:rsid w:val="005B1B1E"/>
    <w:rsid w:val="00603947"/>
    <w:rsid w:val="006760E3"/>
    <w:rsid w:val="006770F2"/>
    <w:rsid w:val="006C1C35"/>
    <w:rsid w:val="0072075D"/>
    <w:rsid w:val="007A0CE2"/>
    <w:rsid w:val="009A1DA0"/>
    <w:rsid w:val="009B4F71"/>
    <w:rsid w:val="009D6DE4"/>
    <w:rsid w:val="00A95F91"/>
    <w:rsid w:val="00AD126E"/>
    <w:rsid w:val="00AE03C8"/>
    <w:rsid w:val="00B35329"/>
    <w:rsid w:val="00BE1222"/>
    <w:rsid w:val="00C01ED3"/>
    <w:rsid w:val="00C10717"/>
    <w:rsid w:val="00C670BE"/>
    <w:rsid w:val="00CF322C"/>
    <w:rsid w:val="00D74E5B"/>
    <w:rsid w:val="00DA7629"/>
    <w:rsid w:val="00DD602C"/>
    <w:rsid w:val="00E077DE"/>
    <w:rsid w:val="00E21376"/>
    <w:rsid w:val="00E25D7A"/>
    <w:rsid w:val="00E71617"/>
    <w:rsid w:val="00FC574C"/>
    <w:rsid w:val="00FD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alloonText">
    <w:name w:val="Balloon Text"/>
    <w:basedOn w:val="Normal"/>
    <w:link w:val="BalloonTextChar"/>
    <w:rsid w:val="009B4F71"/>
    <w:rPr>
      <w:rFonts w:ascii="Tahoma" w:hAnsi="Tahoma" w:cs="Tahoma"/>
      <w:sz w:val="16"/>
      <w:szCs w:val="16"/>
    </w:rPr>
  </w:style>
  <w:style w:type="character" w:customStyle="1" w:styleId="BalloonTextChar">
    <w:name w:val="Balloon Text Char"/>
    <w:basedOn w:val="DefaultParagraphFont"/>
    <w:link w:val="BalloonText"/>
    <w:rsid w:val="009B4F71"/>
    <w:rPr>
      <w:rFonts w:ascii="Tahoma" w:hAnsi="Tahoma" w:cs="Tahoma"/>
      <w:sz w:val="16"/>
      <w:szCs w:val="16"/>
    </w:rPr>
  </w:style>
  <w:style w:type="paragraph" w:styleId="Caption">
    <w:name w:val="caption"/>
    <w:basedOn w:val="Normal"/>
    <w:next w:val="Normal"/>
    <w:unhideWhenUsed/>
    <w:qFormat/>
    <w:rsid w:val="00E7161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alloonText">
    <w:name w:val="Balloon Text"/>
    <w:basedOn w:val="Normal"/>
    <w:link w:val="BalloonTextChar"/>
    <w:rsid w:val="009B4F71"/>
    <w:rPr>
      <w:rFonts w:ascii="Tahoma" w:hAnsi="Tahoma" w:cs="Tahoma"/>
      <w:sz w:val="16"/>
      <w:szCs w:val="16"/>
    </w:rPr>
  </w:style>
  <w:style w:type="character" w:customStyle="1" w:styleId="BalloonTextChar">
    <w:name w:val="Balloon Text Char"/>
    <w:basedOn w:val="DefaultParagraphFont"/>
    <w:link w:val="BalloonText"/>
    <w:rsid w:val="009B4F71"/>
    <w:rPr>
      <w:rFonts w:ascii="Tahoma" w:hAnsi="Tahoma" w:cs="Tahoma"/>
      <w:sz w:val="16"/>
      <w:szCs w:val="16"/>
    </w:rPr>
  </w:style>
  <w:style w:type="paragraph" w:styleId="Caption">
    <w:name w:val="caption"/>
    <w:basedOn w:val="Normal"/>
    <w:next w:val="Normal"/>
    <w:unhideWhenUsed/>
    <w:qFormat/>
    <w:rsid w:val="00E7161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hedrick\AppData\Roaming\Microsoft\Templates\EngrossR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EngrossR6</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Delaware State Legislature</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Hedrick JoAnn (LegHall)</dc:creator>
  <cp:lastModifiedBy>Hedrick JoAnn (LegHall)</cp:lastModifiedBy>
  <cp:revision>2</cp:revision>
  <cp:lastPrinted>2014-06-25T00:51:00Z</cp:lastPrinted>
  <dcterms:created xsi:type="dcterms:W3CDTF">2014-06-25T14:54:00Z</dcterms:created>
  <dcterms:modified xsi:type="dcterms:W3CDTF">2014-06-25T14:54:00Z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TSponsor" linkTarget="Sponsor">
    <vt:lpwstr/>
  </property>
  <property fmtid="{D5CDD505-2E9C-101B-9397-08002B2CF9AE}" pid="3" name="txtDisplayCSponsors" linkTarget="CoSponsor">
    <vt:lpwstr/>
  </property>
  <property fmtid="{D5CDD505-2E9C-101B-9397-08002B2CF9AE}" pid="4" name="txtLongTitle" linkTarget="LongTitle">
    <vt:lpwstr/>
  </property>
  <property fmtid="{D5CDD505-2E9C-101B-9397-08002B2CF9AE}" pid="5" name="txtTypist" linkTarget="TypeInitials">
    <vt:lpwstr/>
  </property>
  <property fmtid="{D5CDD505-2E9C-101B-9397-08002B2CF9AE}" pid="6" name="txtDocType" linkTarget="txtDataType">
    <vt:lpwstr/>
  </property>
</Properties>
</file>