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85" w:rsidRDefault="00563C85" w:rsidP="00DC0FD3">
      <w:pPr>
        <w:jc w:val="center"/>
        <w:rPr>
          <w:rFonts w:ascii="Times New Roman" w:hAnsi="Times New Roman" w:cs="Times New Roman"/>
          <w:sz w:val="24"/>
          <w:szCs w:val="24"/>
        </w:rPr>
      </w:pPr>
      <w:bookmarkStart w:id="0" w:name="_GoBack"/>
      <w:bookmarkEnd w:id="0"/>
    </w:p>
    <w:p w:rsidR="00563C85" w:rsidRDefault="00563C85" w:rsidP="00DC0FD3">
      <w:pPr>
        <w:jc w:val="center"/>
        <w:rPr>
          <w:rFonts w:ascii="Times New Roman" w:hAnsi="Times New Roman" w:cs="Times New Roman"/>
          <w:sz w:val="24"/>
          <w:szCs w:val="24"/>
        </w:rPr>
      </w:pPr>
    </w:p>
    <w:p w:rsidR="00563C85" w:rsidRDefault="00563C85" w:rsidP="00DC0FD3">
      <w:pPr>
        <w:jc w:val="center"/>
        <w:rPr>
          <w:rFonts w:ascii="Times New Roman" w:hAnsi="Times New Roman" w:cs="Times New Roman"/>
          <w:sz w:val="24"/>
          <w:szCs w:val="24"/>
        </w:rPr>
      </w:pPr>
    </w:p>
    <w:p w:rsidR="00DC0FD3" w:rsidRPr="009F1172" w:rsidRDefault="00DC0FD3" w:rsidP="00DC0FD3">
      <w:pPr>
        <w:jc w:val="center"/>
        <w:rPr>
          <w:rFonts w:ascii="Times New Roman" w:hAnsi="Times New Roman" w:cs="Times New Roman"/>
          <w:sz w:val="24"/>
          <w:szCs w:val="24"/>
        </w:rPr>
      </w:pPr>
      <w:r w:rsidRPr="009F1172">
        <w:rPr>
          <w:rFonts w:ascii="Times New Roman" w:hAnsi="Times New Roman" w:cs="Times New Roman"/>
          <w:sz w:val="24"/>
          <w:szCs w:val="24"/>
        </w:rPr>
        <w:t xml:space="preserve">May </w:t>
      </w:r>
      <w:r w:rsidR="00BC65FF" w:rsidRPr="009F1172">
        <w:rPr>
          <w:rFonts w:ascii="Times New Roman" w:hAnsi="Times New Roman" w:cs="Times New Roman"/>
          <w:sz w:val="24"/>
          <w:szCs w:val="24"/>
        </w:rPr>
        <w:t>7</w:t>
      </w:r>
      <w:r w:rsidRPr="009F1172">
        <w:rPr>
          <w:rFonts w:ascii="Times New Roman" w:hAnsi="Times New Roman" w:cs="Times New Roman"/>
          <w:sz w:val="24"/>
          <w:szCs w:val="24"/>
        </w:rPr>
        <w:t>, 2012</w:t>
      </w:r>
    </w:p>
    <w:p w:rsidR="0016598F" w:rsidRPr="009F1172" w:rsidRDefault="0016598F" w:rsidP="0016598F">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Marilyn Tavenner</w:t>
      </w:r>
    </w:p>
    <w:p w:rsidR="0016598F" w:rsidRPr="009F1172" w:rsidRDefault="0016598F" w:rsidP="0016598F">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Administrator</w:t>
      </w:r>
    </w:p>
    <w:p w:rsidR="0016598F" w:rsidRPr="009F1172" w:rsidRDefault="0016598F" w:rsidP="0016598F">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Centers for Medicare and Medicaid Services</w:t>
      </w: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Department of Health and Human Services</w:t>
      </w: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Attention: CMS–0044–P</w:t>
      </w: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P.O. Box 8013</w:t>
      </w: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Baltimore MD 21244–8013</w:t>
      </w:r>
    </w:p>
    <w:p w:rsidR="00DC0FD3" w:rsidRPr="009F1172" w:rsidRDefault="00DC0FD3" w:rsidP="00DC0FD3">
      <w:pPr>
        <w:spacing w:after="0" w:line="240" w:lineRule="auto"/>
        <w:rPr>
          <w:rFonts w:ascii="Times New Roman" w:hAnsi="Times New Roman" w:cs="Times New Roman"/>
          <w:sz w:val="24"/>
          <w:szCs w:val="24"/>
        </w:rPr>
      </w:pP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Submitted electronically via </w:t>
      </w:r>
      <w:hyperlink r:id="rId6" w:history="1">
        <w:r w:rsidRPr="009F1172">
          <w:rPr>
            <w:rStyle w:val="Hyperlink"/>
            <w:rFonts w:ascii="Times New Roman" w:hAnsi="Times New Roman" w:cs="Times New Roman"/>
            <w:sz w:val="24"/>
            <w:szCs w:val="24"/>
          </w:rPr>
          <w:t>www.regulations.gov</w:t>
        </w:r>
      </w:hyperlink>
      <w:r w:rsidRPr="009F1172">
        <w:rPr>
          <w:rFonts w:ascii="Times New Roman" w:hAnsi="Times New Roman" w:cs="Times New Roman"/>
          <w:sz w:val="24"/>
          <w:szCs w:val="24"/>
        </w:rPr>
        <w:t xml:space="preserve"> </w:t>
      </w:r>
    </w:p>
    <w:p w:rsidR="00DC0FD3" w:rsidRDefault="00DC0FD3" w:rsidP="00DC0FD3">
      <w:pPr>
        <w:spacing w:after="0" w:line="240" w:lineRule="auto"/>
        <w:rPr>
          <w:rFonts w:ascii="Times New Roman" w:hAnsi="Times New Roman" w:cs="Times New Roman"/>
          <w:sz w:val="24"/>
          <w:szCs w:val="24"/>
        </w:rPr>
      </w:pPr>
    </w:p>
    <w:p w:rsidR="007D046E" w:rsidRPr="007D046E" w:rsidRDefault="007D046E" w:rsidP="00DC0FD3">
      <w:pPr>
        <w:spacing w:after="0" w:line="240" w:lineRule="auto"/>
        <w:rPr>
          <w:rFonts w:ascii="Times New Roman" w:hAnsi="Times New Roman" w:cs="Times New Roman"/>
          <w:b/>
          <w:sz w:val="24"/>
          <w:szCs w:val="24"/>
        </w:rPr>
      </w:pPr>
      <w:r w:rsidRPr="007D046E">
        <w:rPr>
          <w:rFonts w:ascii="Times New Roman" w:hAnsi="Times New Roman" w:cs="Times New Roman"/>
          <w:b/>
          <w:sz w:val="24"/>
          <w:szCs w:val="24"/>
        </w:rPr>
        <w:t>RE:</w:t>
      </w:r>
      <w:r w:rsidRPr="007D046E">
        <w:rPr>
          <w:rFonts w:ascii="Times New Roman" w:hAnsi="Times New Roman" w:cs="Times New Roman"/>
          <w:b/>
          <w:sz w:val="24"/>
          <w:szCs w:val="24"/>
        </w:rPr>
        <w:tab/>
        <w:t>CMS-0044-P</w:t>
      </w:r>
    </w:p>
    <w:p w:rsidR="007D046E" w:rsidRPr="009F1172" w:rsidRDefault="007D046E" w:rsidP="00DC0FD3">
      <w:pPr>
        <w:spacing w:after="0" w:line="240" w:lineRule="auto"/>
        <w:rPr>
          <w:rFonts w:ascii="Times New Roman" w:hAnsi="Times New Roman" w:cs="Times New Roman"/>
          <w:sz w:val="24"/>
          <w:szCs w:val="24"/>
        </w:rPr>
      </w:pPr>
    </w:p>
    <w:p w:rsidR="00DC0FD3" w:rsidRPr="009F1172" w:rsidRDefault="00DC0FD3"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Dear </w:t>
      </w:r>
      <w:r w:rsidR="0016598F" w:rsidRPr="009F1172">
        <w:rPr>
          <w:rFonts w:ascii="Times New Roman" w:hAnsi="Times New Roman" w:cs="Times New Roman"/>
          <w:sz w:val="24"/>
          <w:szCs w:val="24"/>
        </w:rPr>
        <w:t>Administrator Tavenner</w:t>
      </w:r>
      <w:r w:rsidRPr="009F1172">
        <w:rPr>
          <w:rFonts w:ascii="Times New Roman" w:hAnsi="Times New Roman" w:cs="Times New Roman"/>
          <w:sz w:val="24"/>
          <w:szCs w:val="24"/>
        </w:rPr>
        <w:t>:</w:t>
      </w:r>
    </w:p>
    <w:p w:rsidR="00DC0FD3" w:rsidRPr="009F1172" w:rsidRDefault="00DC0FD3" w:rsidP="00DC0FD3">
      <w:pPr>
        <w:spacing w:after="0" w:line="240" w:lineRule="auto"/>
        <w:ind w:firstLine="720"/>
        <w:rPr>
          <w:rFonts w:ascii="Times New Roman" w:hAnsi="Times New Roman" w:cs="Times New Roman"/>
          <w:sz w:val="24"/>
          <w:szCs w:val="24"/>
        </w:rPr>
      </w:pPr>
    </w:p>
    <w:p w:rsidR="00644966" w:rsidRPr="009F1172" w:rsidRDefault="009E725A" w:rsidP="00DC0FD3">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The undersigned </w:t>
      </w:r>
      <w:r w:rsidR="00BC65FF" w:rsidRPr="009F1172">
        <w:rPr>
          <w:rFonts w:ascii="Times New Roman" w:hAnsi="Times New Roman" w:cs="Times New Roman"/>
          <w:sz w:val="24"/>
          <w:szCs w:val="24"/>
        </w:rPr>
        <w:t xml:space="preserve">organizations and </w:t>
      </w:r>
      <w:r w:rsidRPr="009F1172">
        <w:rPr>
          <w:rFonts w:ascii="Times New Roman" w:hAnsi="Times New Roman" w:cs="Times New Roman"/>
          <w:sz w:val="24"/>
          <w:szCs w:val="24"/>
        </w:rPr>
        <w:t xml:space="preserve">members of the Health IT Now Coalition are </w:t>
      </w:r>
      <w:r w:rsidR="00DC0FD3" w:rsidRPr="009F1172">
        <w:rPr>
          <w:rFonts w:ascii="Times New Roman" w:hAnsi="Times New Roman" w:cs="Times New Roman"/>
          <w:sz w:val="24"/>
          <w:szCs w:val="24"/>
        </w:rPr>
        <w:t xml:space="preserve">pleased to respond to the Medicare and Medicaid Programs; Electronic Health Record Incentive Program – Stage 2 Notice of Proposed Rulemaking published in the </w:t>
      </w:r>
      <w:r w:rsidR="00DC0FD3" w:rsidRPr="009F1172">
        <w:rPr>
          <w:rFonts w:ascii="Times New Roman" w:hAnsi="Times New Roman" w:cs="Times New Roman"/>
          <w:i/>
          <w:sz w:val="24"/>
          <w:szCs w:val="24"/>
        </w:rPr>
        <w:t xml:space="preserve">Federal Register </w:t>
      </w:r>
      <w:r w:rsidR="00DC0FD3" w:rsidRPr="009F1172">
        <w:rPr>
          <w:rFonts w:ascii="Times New Roman" w:hAnsi="Times New Roman" w:cs="Times New Roman"/>
          <w:sz w:val="24"/>
          <w:szCs w:val="24"/>
        </w:rPr>
        <w:t xml:space="preserve">on March 7, 2012.  Health IT Now (HITN, www.healthitnow.org) </w:t>
      </w:r>
      <w:r w:rsidR="00BA1618" w:rsidRPr="009F1172">
        <w:rPr>
          <w:rFonts w:ascii="Times New Roman" w:hAnsi="Times New Roman" w:cs="Times New Roman"/>
          <w:sz w:val="24"/>
          <w:szCs w:val="24"/>
        </w:rPr>
        <w:t xml:space="preserve">is a diverse coalition </w:t>
      </w:r>
      <w:r w:rsidR="00DC0FD3" w:rsidRPr="009F1172">
        <w:rPr>
          <w:rFonts w:ascii="Times New Roman" w:hAnsi="Times New Roman" w:cs="Times New Roman"/>
          <w:sz w:val="24"/>
          <w:szCs w:val="24"/>
        </w:rPr>
        <w:t>of 6</w:t>
      </w:r>
      <w:r w:rsidR="00DD1F6B" w:rsidRPr="009F1172">
        <w:rPr>
          <w:rFonts w:ascii="Times New Roman" w:hAnsi="Times New Roman" w:cs="Times New Roman"/>
          <w:sz w:val="24"/>
          <w:szCs w:val="24"/>
        </w:rPr>
        <w:t>5</w:t>
      </w:r>
      <w:r w:rsidR="00BA1618" w:rsidRPr="009F1172">
        <w:rPr>
          <w:rFonts w:ascii="Times New Roman" w:hAnsi="Times New Roman" w:cs="Times New Roman"/>
          <w:sz w:val="24"/>
          <w:szCs w:val="24"/>
        </w:rPr>
        <w:t xml:space="preserve"> organizations, including health care providers, patient advocates, consumers, employers and payers, who</w:t>
      </w:r>
      <w:r w:rsidR="00DC0FD3" w:rsidRPr="009F1172">
        <w:rPr>
          <w:rFonts w:ascii="Times New Roman" w:hAnsi="Times New Roman" w:cs="Times New Roman"/>
          <w:sz w:val="24"/>
          <w:szCs w:val="24"/>
        </w:rPr>
        <w:t xml:space="preserve"> </w:t>
      </w:r>
      <w:r w:rsidR="00BA1618" w:rsidRPr="009F1172">
        <w:rPr>
          <w:rFonts w:ascii="Times New Roman" w:hAnsi="Times New Roman" w:cs="Times New Roman"/>
          <w:sz w:val="24"/>
          <w:szCs w:val="24"/>
        </w:rPr>
        <w:t>support the</w:t>
      </w:r>
      <w:r w:rsidR="00DC0FD3" w:rsidRPr="009F1172">
        <w:rPr>
          <w:rFonts w:ascii="Times New Roman" w:hAnsi="Times New Roman" w:cs="Times New Roman"/>
          <w:sz w:val="24"/>
          <w:szCs w:val="24"/>
        </w:rPr>
        <w:t xml:space="preserve"> adoption of </w:t>
      </w:r>
      <w:r w:rsidR="00AD0CCB" w:rsidRPr="009F1172">
        <w:rPr>
          <w:rFonts w:ascii="Times New Roman" w:hAnsi="Times New Roman" w:cs="Times New Roman"/>
          <w:sz w:val="24"/>
          <w:szCs w:val="24"/>
        </w:rPr>
        <w:t xml:space="preserve">health </w:t>
      </w:r>
      <w:r w:rsidR="00DC0FD3" w:rsidRPr="009F1172">
        <w:rPr>
          <w:rFonts w:ascii="Times New Roman" w:hAnsi="Times New Roman" w:cs="Times New Roman"/>
          <w:sz w:val="24"/>
          <w:szCs w:val="24"/>
        </w:rPr>
        <w:t xml:space="preserve">IT to lower costs </w:t>
      </w:r>
      <w:r w:rsidR="00AC35A2" w:rsidRPr="009F1172">
        <w:rPr>
          <w:rFonts w:ascii="Times New Roman" w:hAnsi="Times New Roman" w:cs="Times New Roman"/>
          <w:sz w:val="24"/>
          <w:szCs w:val="24"/>
        </w:rPr>
        <w:t xml:space="preserve">while improving </w:t>
      </w:r>
      <w:r w:rsidR="00DC0FD3" w:rsidRPr="009F1172">
        <w:rPr>
          <w:rFonts w:ascii="Times New Roman" w:hAnsi="Times New Roman" w:cs="Times New Roman"/>
          <w:sz w:val="24"/>
          <w:szCs w:val="24"/>
        </w:rPr>
        <w:t>quality</w:t>
      </w:r>
      <w:r w:rsidR="000E735E" w:rsidRPr="009F1172">
        <w:rPr>
          <w:rFonts w:ascii="Times New Roman" w:hAnsi="Times New Roman" w:cs="Times New Roman"/>
          <w:sz w:val="24"/>
          <w:szCs w:val="24"/>
        </w:rPr>
        <w:t xml:space="preserve">, safety and </w:t>
      </w:r>
      <w:r w:rsidR="00BA1618" w:rsidRPr="009F1172">
        <w:rPr>
          <w:rFonts w:ascii="Times New Roman" w:hAnsi="Times New Roman" w:cs="Times New Roman"/>
          <w:sz w:val="24"/>
          <w:szCs w:val="24"/>
        </w:rPr>
        <w:t xml:space="preserve">clinical </w:t>
      </w:r>
      <w:r w:rsidR="000E735E" w:rsidRPr="009F1172">
        <w:rPr>
          <w:rFonts w:ascii="Times New Roman" w:hAnsi="Times New Roman" w:cs="Times New Roman"/>
          <w:sz w:val="24"/>
          <w:szCs w:val="24"/>
        </w:rPr>
        <w:t>outcomes</w:t>
      </w:r>
      <w:r w:rsidR="00DC0FD3" w:rsidRPr="009F1172">
        <w:rPr>
          <w:rFonts w:ascii="Times New Roman" w:hAnsi="Times New Roman" w:cs="Times New Roman"/>
          <w:sz w:val="24"/>
          <w:szCs w:val="24"/>
        </w:rPr>
        <w:t xml:space="preserve">. </w:t>
      </w:r>
      <w:r w:rsidR="00AC35A2" w:rsidRPr="009F1172">
        <w:rPr>
          <w:rFonts w:ascii="Times New Roman" w:hAnsi="Times New Roman" w:cs="Times New Roman"/>
          <w:sz w:val="24"/>
          <w:szCs w:val="24"/>
        </w:rPr>
        <w:t xml:space="preserve"> </w:t>
      </w:r>
      <w:r w:rsidR="00BC65FF" w:rsidRPr="009F1172">
        <w:rPr>
          <w:rFonts w:ascii="Times New Roman" w:hAnsi="Times New Roman" w:cs="Times New Roman"/>
          <w:sz w:val="24"/>
          <w:szCs w:val="24"/>
        </w:rPr>
        <w:t>Other organizations have joined our comment letter to highlight the importance of this issue.</w:t>
      </w:r>
    </w:p>
    <w:p w:rsidR="00644966" w:rsidRPr="009F1172" w:rsidRDefault="00644966" w:rsidP="00DC0FD3">
      <w:pPr>
        <w:spacing w:after="0" w:line="240" w:lineRule="auto"/>
        <w:ind w:firstLine="720"/>
        <w:rPr>
          <w:rFonts w:ascii="Times New Roman" w:hAnsi="Times New Roman" w:cs="Times New Roman"/>
          <w:sz w:val="24"/>
          <w:szCs w:val="24"/>
        </w:rPr>
      </w:pPr>
    </w:p>
    <w:p w:rsidR="00DC0FD3" w:rsidRPr="009F1172" w:rsidRDefault="00A61EC8" w:rsidP="00DC0FD3">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We believe the NPRM is a solid first step in promoting information exchange and care coordination.  </w:t>
      </w:r>
      <w:r w:rsidR="00644966" w:rsidRPr="009F1172">
        <w:rPr>
          <w:rFonts w:ascii="Times New Roman" w:hAnsi="Times New Roman" w:cs="Times New Roman"/>
          <w:sz w:val="24"/>
          <w:szCs w:val="24"/>
        </w:rPr>
        <w:t xml:space="preserve">We </w:t>
      </w:r>
      <w:r w:rsidR="00BA1618" w:rsidRPr="009F1172">
        <w:rPr>
          <w:rFonts w:ascii="Times New Roman" w:hAnsi="Times New Roman" w:cs="Times New Roman"/>
          <w:sz w:val="24"/>
          <w:szCs w:val="24"/>
        </w:rPr>
        <w:t>call on CMS to strengthen</w:t>
      </w:r>
      <w:r w:rsidR="00DC0FD3" w:rsidRPr="009F1172">
        <w:rPr>
          <w:rFonts w:ascii="Times New Roman" w:hAnsi="Times New Roman" w:cs="Times New Roman"/>
          <w:sz w:val="24"/>
          <w:szCs w:val="24"/>
        </w:rPr>
        <w:t xml:space="preserve"> </w:t>
      </w:r>
      <w:r w:rsidR="00644966" w:rsidRPr="009F1172">
        <w:rPr>
          <w:rFonts w:ascii="Times New Roman" w:hAnsi="Times New Roman" w:cs="Times New Roman"/>
          <w:sz w:val="24"/>
          <w:szCs w:val="24"/>
        </w:rPr>
        <w:t xml:space="preserve">the </w:t>
      </w:r>
      <w:r w:rsidR="00981D72" w:rsidRPr="009F1172">
        <w:rPr>
          <w:rFonts w:ascii="Times New Roman" w:hAnsi="Times New Roman" w:cs="Times New Roman"/>
          <w:sz w:val="24"/>
          <w:szCs w:val="24"/>
        </w:rPr>
        <w:t xml:space="preserve">NPRM </w:t>
      </w:r>
      <w:r w:rsidR="00DC0FD3" w:rsidRPr="009F1172">
        <w:rPr>
          <w:rFonts w:ascii="Times New Roman" w:hAnsi="Times New Roman" w:cs="Times New Roman"/>
          <w:sz w:val="24"/>
          <w:szCs w:val="24"/>
        </w:rPr>
        <w:t xml:space="preserve">to facilitate robust interoperability and </w:t>
      </w:r>
      <w:r w:rsidR="00BC65FF" w:rsidRPr="009F1172">
        <w:rPr>
          <w:rFonts w:ascii="Times New Roman" w:hAnsi="Times New Roman" w:cs="Times New Roman"/>
          <w:sz w:val="24"/>
          <w:szCs w:val="24"/>
        </w:rPr>
        <w:t xml:space="preserve">information </w:t>
      </w:r>
      <w:r w:rsidR="00DC0FD3" w:rsidRPr="009F1172">
        <w:rPr>
          <w:rFonts w:ascii="Times New Roman" w:hAnsi="Times New Roman" w:cs="Times New Roman"/>
          <w:sz w:val="24"/>
          <w:szCs w:val="24"/>
        </w:rPr>
        <w:t xml:space="preserve">exchange. </w:t>
      </w:r>
      <w:r w:rsidR="000E735E" w:rsidRPr="009F1172">
        <w:rPr>
          <w:rFonts w:ascii="Times New Roman" w:hAnsi="Times New Roman" w:cs="Times New Roman"/>
          <w:sz w:val="24"/>
          <w:szCs w:val="24"/>
        </w:rPr>
        <w:t xml:space="preserve"> </w:t>
      </w:r>
      <w:r w:rsidR="00BA1618" w:rsidRPr="009F1172">
        <w:rPr>
          <w:rFonts w:ascii="Times New Roman" w:hAnsi="Times New Roman" w:cs="Times New Roman"/>
          <w:sz w:val="24"/>
          <w:szCs w:val="24"/>
        </w:rPr>
        <w:t xml:space="preserve">Specifically, </w:t>
      </w:r>
      <w:r w:rsidR="00A82B64" w:rsidRPr="009F1172">
        <w:rPr>
          <w:rFonts w:ascii="Times New Roman" w:hAnsi="Times New Roman" w:cs="Times New Roman"/>
          <w:sz w:val="24"/>
          <w:szCs w:val="24"/>
        </w:rPr>
        <w:t xml:space="preserve">we </w:t>
      </w:r>
      <w:r w:rsidR="00644966" w:rsidRPr="009F1172">
        <w:rPr>
          <w:rFonts w:ascii="Times New Roman" w:hAnsi="Times New Roman" w:cs="Times New Roman"/>
          <w:sz w:val="24"/>
          <w:szCs w:val="24"/>
        </w:rPr>
        <w:t>recommend</w:t>
      </w:r>
      <w:r w:rsidR="00DC0FD3" w:rsidRPr="009F1172">
        <w:rPr>
          <w:rFonts w:ascii="Times New Roman" w:hAnsi="Times New Roman" w:cs="Times New Roman"/>
          <w:sz w:val="24"/>
          <w:szCs w:val="24"/>
        </w:rPr>
        <w:t>:</w:t>
      </w:r>
    </w:p>
    <w:p w:rsidR="00DC0FD3" w:rsidRPr="009F1172" w:rsidRDefault="00DC0FD3" w:rsidP="00DC0FD3">
      <w:pPr>
        <w:spacing w:after="0" w:line="240" w:lineRule="auto"/>
        <w:rPr>
          <w:rFonts w:ascii="Times New Roman" w:hAnsi="Times New Roman" w:cs="Times New Roman"/>
          <w:sz w:val="24"/>
          <w:szCs w:val="24"/>
        </w:rPr>
      </w:pPr>
    </w:p>
    <w:p w:rsidR="00523336" w:rsidRPr="009F1172" w:rsidRDefault="00BC65FF" w:rsidP="00523336">
      <w:pPr>
        <w:pStyle w:val="ListParagraph"/>
        <w:numPr>
          <w:ilvl w:val="0"/>
          <w:numId w:val="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Ending </w:t>
      </w:r>
      <w:r w:rsidR="00523336" w:rsidRPr="009F1172">
        <w:rPr>
          <w:rFonts w:ascii="Times New Roman" w:hAnsi="Times New Roman" w:cs="Times New Roman"/>
          <w:sz w:val="24"/>
          <w:szCs w:val="24"/>
        </w:rPr>
        <w:t>information exchange</w:t>
      </w:r>
      <w:r w:rsidRPr="009F1172">
        <w:rPr>
          <w:rFonts w:ascii="Times New Roman" w:hAnsi="Times New Roman" w:cs="Times New Roman"/>
          <w:sz w:val="24"/>
          <w:szCs w:val="24"/>
        </w:rPr>
        <w:t xml:space="preserve"> blocking</w:t>
      </w:r>
      <w:r w:rsidR="00523336" w:rsidRPr="009F1172">
        <w:rPr>
          <w:rFonts w:ascii="Times New Roman" w:hAnsi="Times New Roman" w:cs="Times New Roman"/>
          <w:sz w:val="24"/>
          <w:szCs w:val="24"/>
        </w:rPr>
        <w:t>;</w:t>
      </w:r>
    </w:p>
    <w:p w:rsidR="000E735E" w:rsidRPr="009F1172" w:rsidRDefault="00BA1618" w:rsidP="00DC0FD3">
      <w:pPr>
        <w:pStyle w:val="ListParagraph"/>
        <w:numPr>
          <w:ilvl w:val="0"/>
          <w:numId w:val="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Adopting</w:t>
      </w:r>
      <w:r w:rsidR="00DC0FD3" w:rsidRPr="009F1172">
        <w:rPr>
          <w:rFonts w:ascii="Times New Roman" w:hAnsi="Times New Roman" w:cs="Times New Roman"/>
          <w:sz w:val="24"/>
          <w:szCs w:val="24"/>
        </w:rPr>
        <w:t xml:space="preserve"> more robust interoperability</w:t>
      </w:r>
      <w:r w:rsidRPr="009F1172">
        <w:rPr>
          <w:rFonts w:ascii="Times New Roman" w:hAnsi="Times New Roman" w:cs="Times New Roman"/>
          <w:sz w:val="24"/>
          <w:szCs w:val="24"/>
        </w:rPr>
        <w:t xml:space="preserve"> standards</w:t>
      </w:r>
      <w:r w:rsidR="00DC0FD3" w:rsidRPr="009F1172">
        <w:rPr>
          <w:rFonts w:ascii="Times New Roman" w:hAnsi="Times New Roman" w:cs="Times New Roman"/>
          <w:sz w:val="24"/>
          <w:szCs w:val="24"/>
        </w:rPr>
        <w:t>;</w:t>
      </w:r>
    </w:p>
    <w:p w:rsidR="000E735E" w:rsidRPr="009F1172" w:rsidRDefault="00BA1618" w:rsidP="00DC0FD3">
      <w:pPr>
        <w:pStyle w:val="ListParagraph"/>
        <w:numPr>
          <w:ilvl w:val="0"/>
          <w:numId w:val="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Promoting greater</w:t>
      </w:r>
      <w:r w:rsidR="000E735E" w:rsidRPr="009F1172">
        <w:rPr>
          <w:rFonts w:ascii="Times New Roman" w:hAnsi="Times New Roman" w:cs="Times New Roman"/>
          <w:sz w:val="24"/>
          <w:szCs w:val="24"/>
        </w:rPr>
        <w:t xml:space="preserve"> patient engagement</w:t>
      </w:r>
      <w:r w:rsidR="00DC0FD3" w:rsidRPr="009F1172">
        <w:rPr>
          <w:rFonts w:ascii="Times New Roman" w:hAnsi="Times New Roman" w:cs="Times New Roman"/>
          <w:sz w:val="24"/>
          <w:szCs w:val="24"/>
        </w:rPr>
        <w:t xml:space="preserve">; </w:t>
      </w:r>
      <w:r w:rsidR="008F241C" w:rsidRPr="009F1172">
        <w:rPr>
          <w:rFonts w:ascii="Times New Roman" w:hAnsi="Times New Roman" w:cs="Times New Roman"/>
          <w:sz w:val="24"/>
          <w:szCs w:val="24"/>
        </w:rPr>
        <w:t>and,</w:t>
      </w:r>
    </w:p>
    <w:p w:rsidR="00DC0FD3" w:rsidRPr="009F1172" w:rsidRDefault="00DD1F6B" w:rsidP="00DC0FD3">
      <w:pPr>
        <w:pStyle w:val="ListParagraph"/>
        <w:numPr>
          <w:ilvl w:val="0"/>
          <w:numId w:val="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C</w:t>
      </w:r>
      <w:r w:rsidR="00DC0FD3" w:rsidRPr="009F1172">
        <w:rPr>
          <w:rFonts w:ascii="Times New Roman" w:hAnsi="Times New Roman" w:cs="Times New Roman"/>
          <w:sz w:val="24"/>
          <w:szCs w:val="24"/>
        </w:rPr>
        <w:t>oordinat</w:t>
      </w:r>
      <w:r w:rsidRPr="009F1172">
        <w:rPr>
          <w:rFonts w:ascii="Times New Roman" w:hAnsi="Times New Roman" w:cs="Times New Roman"/>
          <w:sz w:val="24"/>
          <w:szCs w:val="24"/>
        </w:rPr>
        <w:t>ing</w:t>
      </w:r>
      <w:r w:rsidR="00DC0FD3" w:rsidRPr="009F1172">
        <w:rPr>
          <w:rFonts w:ascii="Times New Roman" w:hAnsi="Times New Roman" w:cs="Times New Roman"/>
          <w:sz w:val="24"/>
          <w:szCs w:val="24"/>
        </w:rPr>
        <w:t xml:space="preserve"> </w:t>
      </w:r>
      <w:r w:rsidR="009E725A" w:rsidRPr="009F1172">
        <w:rPr>
          <w:rFonts w:ascii="Times New Roman" w:hAnsi="Times New Roman" w:cs="Times New Roman"/>
          <w:sz w:val="24"/>
          <w:szCs w:val="24"/>
        </w:rPr>
        <w:t xml:space="preserve">quality measures </w:t>
      </w:r>
      <w:r w:rsidR="00DC0FD3" w:rsidRPr="009F1172">
        <w:rPr>
          <w:rFonts w:ascii="Times New Roman" w:hAnsi="Times New Roman" w:cs="Times New Roman"/>
          <w:sz w:val="24"/>
          <w:szCs w:val="24"/>
        </w:rPr>
        <w:t xml:space="preserve">across </w:t>
      </w:r>
      <w:r w:rsidRPr="009F1172">
        <w:rPr>
          <w:rFonts w:ascii="Times New Roman" w:hAnsi="Times New Roman" w:cs="Times New Roman"/>
          <w:sz w:val="24"/>
          <w:szCs w:val="24"/>
        </w:rPr>
        <w:t>Medicare and Medicaid</w:t>
      </w:r>
      <w:r w:rsidR="00DC0FD3" w:rsidRPr="009F1172">
        <w:rPr>
          <w:rFonts w:ascii="Times New Roman" w:hAnsi="Times New Roman" w:cs="Times New Roman"/>
          <w:sz w:val="24"/>
          <w:szCs w:val="24"/>
        </w:rPr>
        <w:t>.</w:t>
      </w:r>
    </w:p>
    <w:p w:rsidR="00DC0FD3" w:rsidRPr="009F1172" w:rsidRDefault="00523336" w:rsidP="00DC0FD3">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 </w:t>
      </w:r>
    </w:p>
    <w:p w:rsidR="00C921D9" w:rsidRPr="009F1172" w:rsidRDefault="00644966" w:rsidP="00644966">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In recent years, the Administration and Congress, as well as the patient, provider, payer, and employer communities, have expressed strong, bipartisan, industry-wide support for better care coordination using electronic record systems that share clinical information.  Medicare, Medicaid and the private sector are working to implement ACOs, medical homes, hospital readmission-prevention programs and other models that rely on data sharing.  We believe the current and proposed Meaningful Use standards </w:t>
      </w:r>
      <w:r w:rsidR="00C921D9" w:rsidRPr="009F1172">
        <w:rPr>
          <w:rFonts w:ascii="Times New Roman" w:hAnsi="Times New Roman" w:cs="Times New Roman"/>
          <w:sz w:val="24"/>
          <w:szCs w:val="24"/>
        </w:rPr>
        <w:t xml:space="preserve">are </w:t>
      </w:r>
      <w:r w:rsidRPr="009F1172">
        <w:rPr>
          <w:rFonts w:ascii="Times New Roman" w:hAnsi="Times New Roman" w:cs="Times New Roman"/>
          <w:sz w:val="24"/>
          <w:szCs w:val="24"/>
        </w:rPr>
        <w:t>not adequate</w:t>
      </w:r>
      <w:r w:rsidR="00C921D9" w:rsidRPr="009F1172">
        <w:rPr>
          <w:rFonts w:ascii="Times New Roman" w:hAnsi="Times New Roman" w:cs="Times New Roman"/>
          <w:sz w:val="24"/>
          <w:szCs w:val="24"/>
        </w:rPr>
        <w:t xml:space="preserve"> to</w:t>
      </w:r>
      <w:r w:rsidRPr="009F1172">
        <w:rPr>
          <w:rFonts w:ascii="Times New Roman" w:hAnsi="Times New Roman" w:cs="Times New Roman"/>
          <w:sz w:val="24"/>
          <w:szCs w:val="24"/>
        </w:rPr>
        <w:t xml:space="preserve"> support these initiatives.  </w:t>
      </w:r>
      <w:r w:rsidR="00C921D9" w:rsidRPr="009F1172">
        <w:rPr>
          <w:rFonts w:ascii="Times New Roman" w:hAnsi="Times New Roman" w:cs="Times New Roman"/>
          <w:sz w:val="24"/>
          <w:szCs w:val="24"/>
        </w:rPr>
        <w:t xml:space="preserve">CMS has an opportunity to build on the foundation created by the NPRM to </w:t>
      </w:r>
      <w:r w:rsidR="00981D72" w:rsidRPr="009F1172">
        <w:rPr>
          <w:rFonts w:ascii="Times New Roman" w:hAnsi="Times New Roman" w:cs="Times New Roman"/>
          <w:sz w:val="24"/>
          <w:szCs w:val="24"/>
        </w:rPr>
        <w:t xml:space="preserve">support the </w:t>
      </w:r>
      <w:r w:rsidRPr="009F1172">
        <w:rPr>
          <w:rFonts w:ascii="Times New Roman" w:hAnsi="Times New Roman" w:cs="Times New Roman"/>
          <w:sz w:val="24"/>
          <w:szCs w:val="24"/>
        </w:rPr>
        <w:t>current and ongoing implement</w:t>
      </w:r>
      <w:r w:rsidR="00C921D9" w:rsidRPr="009F1172">
        <w:rPr>
          <w:rFonts w:ascii="Times New Roman" w:hAnsi="Times New Roman" w:cs="Times New Roman"/>
          <w:sz w:val="24"/>
          <w:szCs w:val="24"/>
        </w:rPr>
        <w:t>ation of these care models.</w:t>
      </w:r>
    </w:p>
    <w:p w:rsidR="00C921D9" w:rsidRPr="009F1172" w:rsidRDefault="00C921D9" w:rsidP="00644966">
      <w:pPr>
        <w:spacing w:after="0" w:line="240" w:lineRule="auto"/>
        <w:ind w:firstLine="720"/>
        <w:rPr>
          <w:rFonts w:ascii="Times New Roman" w:hAnsi="Times New Roman" w:cs="Times New Roman"/>
          <w:sz w:val="24"/>
          <w:szCs w:val="24"/>
        </w:rPr>
      </w:pPr>
    </w:p>
    <w:p w:rsidR="00DC0FD3" w:rsidRPr="009F1172" w:rsidRDefault="004E2029" w:rsidP="00981D72">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lastRenderedPageBreak/>
        <w:t xml:space="preserve">We are concerned </w:t>
      </w:r>
      <w:r w:rsidR="003C7002" w:rsidRPr="009F1172">
        <w:rPr>
          <w:rFonts w:ascii="Times New Roman" w:hAnsi="Times New Roman" w:cs="Times New Roman"/>
          <w:sz w:val="24"/>
          <w:szCs w:val="24"/>
        </w:rPr>
        <w:t>CMS</w:t>
      </w:r>
      <w:r w:rsidR="00DD1F6B" w:rsidRPr="009F1172">
        <w:rPr>
          <w:rFonts w:ascii="Times New Roman" w:hAnsi="Times New Roman" w:cs="Times New Roman"/>
          <w:sz w:val="24"/>
          <w:szCs w:val="24"/>
        </w:rPr>
        <w:t xml:space="preserve">’ proposal to </w:t>
      </w:r>
      <w:r w:rsidRPr="009F1172">
        <w:rPr>
          <w:rFonts w:ascii="Times New Roman" w:hAnsi="Times New Roman" w:cs="Times New Roman"/>
          <w:sz w:val="24"/>
          <w:szCs w:val="24"/>
        </w:rPr>
        <w:t>delay implementation of Stage 2 by one year for EPs and EHs who became Meaningful Users in 2011</w:t>
      </w:r>
      <w:r w:rsidR="00DD1F6B" w:rsidRPr="009F1172">
        <w:rPr>
          <w:rFonts w:ascii="Times New Roman" w:hAnsi="Times New Roman" w:cs="Times New Roman"/>
          <w:sz w:val="24"/>
          <w:szCs w:val="24"/>
        </w:rPr>
        <w:t xml:space="preserve"> </w:t>
      </w:r>
      <w:r w:rsidR="007E7685" w:rsidRPr="009F1172">
        <w:rPr>
          <w:rFonts w:ascii="Times New Roman" w:hAnsi="Times New Roman" w:cs="Times New Roman"/>
          <w:sz w:val="24"/>
          <w:szCs w:val="24"/>
        </w:rPr>
        <w:t xml:space="preserve">could </w:t>
      </w:r>
      <w:r w:rsidR="00AC35A2" w:rsidRPr="009F1172">
        <w:rPr>
          <w:rFonts w:ascii="Times New Roman" w:hAnsi="Times New Roman" w:cs="Times New Roman"/>
          <w:sz w:val="24"/>
          <w:szCs w:val="24"/>
        </w:rPr>
        <w:t xml:space="preserve">squander an important opportunity to improve </w:t>
      </w:r>
      <w:r w:rsidR="00DD1F6B" w:rsidRPr="009F1172">
        <w:rPr>
          <w:rFonts w:ascii="Times New Roman" w:hAnsi="Times New Roman" w:cs="Times New Roman"/>
          <w:sz w:val="24"/>
          <w:szCs w:val="24"/>
        </w:rPr>
        <w:t>interoperability in 2013</w:t>
      </w:r>
      <w:r w:rsidR="007E7685" w:rsidRPr="009F1172">
        <w:rPr>
          <w:rFonts w:ascii="Times New Roman" w:hAnsi="Times New Roman" w:cs="Times New Roman"/>
          <w:sz w:val="24"/>
          <w:szCs w:val="24"/>
        </w:rPr>
        <w:t>, when Stage 2 would have originally started</w:t>
      </w:r>
      <w:r w:rsidR="00BE6166" w:rsidRPr="009F1172">
        <w:rPr>
          <w:rFonts w:ascii="Times New Roman" w:hAnsi="Times New Roman" w:cs="Times New Roman"/>
          <w:sz w:val="24"/>
          <w:szCs w:val="24"/>
        </w:rPr>
        <w:t xml:space="preserve">.  </w:t>
      </w:r>
      <w:r w:rsidR="00AC35A2" w:rsidRPr="009F1172">
        <w:rPr>
          <w:rFonts w:ascii="Times New Roman" w:hAnsi="Times New Roman" w:cs="Times New Roman"/>
          <w:sz w:val="24"/>
          <w:szCs w:val="24"/>
        </w:rPr>
        <w:t xml:space="preserve">Although </w:t>
      </w:r>
      <w:r w:rsidR="007E7685" w:rsidRPr="009F1172">
        <w:rPr>
          <w:rFonts w:ascii="Times New Roman" w:hAnsi="Times New Roman" w:cs="Times New Roman"/>
          <w:sz w:val="24"/>
          <w:szCs w:val="24"/>
        </w:rPr>
        <w:t xml:space="preserve">we recognize that </w:t>
      </w:r>
      <w:r w:rsidR="00AC35A2" w:rsidRPr="009F1172">
        <w:rPr>
          <w:rFonts w:ascii="Times New Roman" w:hAnsi="Times New Roman" w:cs="Times New Roman"/>
          <w:sz w:val="24"/>
          <w:szCs w:val="24"/>
        </w:rPr>
        <w:t>t</w:t>
      </w:r>
      <w:r w:rsidR="00DD1F6B" w:rsidRPr="009F1172">
        <w:rPr>
          <w:rFonts w:ascii="Times New Roman" w:hAnsi="Times New Roman" w:cs="Times New Roman"/>
          <w:sz w:val="24"/>
          <w:szCs w:val="24"/>
        </w:rPr>
        <w:t xml:space="preserve">he delay </w:t>
      </w:r>
      <w:r w:rsidR="009A014D" w:rsidRPr="009F1172">
        <w:rPr>
          <w:rFonts w:ascii="Times New Roman" w:hAnsi="Times New Roman" w:cs="Times New Roman"/>
          <w:sz w:val="24"/>
          <w:szCs w:val="24"/>
        </w:rPr>
        <w:t>addresses practical concerns</w:t>
      </w:r>
      <w:r w:rsidR="00AC35A2" w:rsidRPr="009F1172">
        <w:rPr>
          <w:rFonts w:ascii="Times New Roman" w:hAnsi="Times New Roman" w:cs="Times New Roman"/>
          <w:sz w:val="24"/>
          <w:szCs w:val="24"/>
        </w:rPr>
        <w:t xml:space="preserve">, </w:t>
      </w:r>
      <w:r w:rsidR="00BE6166" w:rsidRPr="009F1172">
        <w:rPr>
          <w:rFonts w:ascii="Times New Roman" w:hAnsi="Times New Roman" w:cs="Times New Roman"/>
          <w:sz w:val="24"/>
          <w:szCs w:val="24"/>
        </w:rPr>
        <w:t xml:space="preserve">it concedes too much.  </w:t>
      </w:r>
      <w:r w:rsidR="00934C8C" w:rsidRPr="009F1172">
        <w:rPr>
          <w:rFonts w:ascii="Times New Roman" w:hAnsi="Times New Roman" w:cs="Times New Roman"/>
          <w:sz w:val="24"/>
          <w:szCs w:val="24"/>
        </w:rPr>
        <w:t xml:space="preserve">We also support clearly defining the role of HIEs in the NPRM as a way to address some of the seemingly intractable policy and operation problems associated with quality metrics, interoperability requirements, information blocking and patient engagement.  </w:t>
      </w:r>
      <w:r w:rsidR="000E735E" w:rsidRPr="009F1172">
        <w:rPr>
          <w:rFonts w:ascii="Times New Roman" w:hAnsi="Times New Roman" w:cs="Times New Roman"/>
          <w:sz w:val="24"/>
          <w:szCs w:val="24"/>
        </w:rPr>
        <w:t xml:space="preserve">We </w:t>
      </w:r>
      <w:r w:rsidR="007E7685" w:rsidRPr="009F1172">
        <w:rPr>
          <w:rFonts w:ascii="Times New Roman" w:hAnsi="Times New Roman" w:cs="Times New Roman"/>
          <w:sz w:val="24"/>
          <w:szCs w:val="24"/>
        </w:rPr>
        <w:t xml:space="preserve">strongly </w:t>
      </w:r>
      <w:r w:rsidR="000E735E" w:rsidRPr="009F1172">
        <w:rPr>
          <w:rFonts w:ascii="Times New Roman" w:hAnsi="Times New Roman" w:cs="Times New Roman"/>
          <w:sz w:val="24"/>
          <w:szCs w:val="24"/>
        </w:rPr>
        <w:t xml:space="preserve">encourage </w:t>
      </w:r>
      <w:r w:rsidR="003C7002" w:rsidRPr="009F1172">
        <w:rPr>
          <w:rFonts w:ascii="Times New Roman" w:hAnsi="Times New Roman" w:cs="Times New Roman"/>
          <w:sz w:val="24"/>
          <w:szCs w:val="24"/>
        </w:rPr>
        <w:t>CMS</w:t>
      </w:r>
      <w:r w:rsidR="000E735E" w:rsidRPr="009F1172">
        <w:rPr>
          <w:rFonts w:ascii="Times New Roman" w:hAnsi="Times New Roman" w:cs="Times New Roman"/>
          <w:sz w:val="24"/>
          <w:szCs w:val="24"/>
        </w:rPr>
        <w:t xml:space="preserve"> to take bold steps and use every policy lever at </w:t>
      </w:r>
      <w:r w:rsidR="00BC65FF" w:rsidRPr="009F1172">
        <w:rPr>
          <w:rFonts w:ascii="Times New Roman" w:hAnsi="Times New Roman" w:cs="Times New Roman"/>
          <w:sz w:val="24"/>
          <w:szCs w:val="24"/>
        </w:rPr>
        <w:t xml:space="preserve">the Agency’s </w:t>
      </w:r>
      <w:r w:rsidR="000E735E" w:rsidRPr="009F1172">
        <w:rPr>
          <w:rFonts w:ascii="Times New Roman" w:hAnsi="Times New Roman" w:cs="Times New Roman"/>
          <w:sz w:val="24"/>
          <w:szCs w:val="24"/>
        </w:rPr>
        <w:t xml:space="preserve">disposal to aggressively implement interoperability standards and rules for exchange that promote </w:t>
      </w:r>
      <w:r w:rsidR="00981D72" w:rsidRPr="009F1172">
        <w:rPr>
          <w:rFonts w:ascii="Times New Roman" w:hAnsi="Times New Roman" w:cs="Times New Roman"/>
          <w:sz w:val="24"/>
          <w:szCs w:val="24"/>
        </w:rPr>
        <w:t xml:space="preserve">coordinated </w:t>
      </w:r>
      <w:r w:rsidR="000E735E" w:rsidRPr="009F1172">
        <w:rPr>
          <w:rFonts w:ascii="Times New Roman" w:hAnsi="Times New Roman" w:cs="Times New Roman"/>
          <w:sz w:val="24"/>
          <w:szCs w:val="24"/>
        </w:rPr>
        <w:t>care models</w:t>
      </w:r>
      <w:r w:rsidR="00870FA4" w:rsidRPr="009F1172">
        <w:rPr>
          <w:rFonts w:ascii="Times New Roman" w:hAnsi="Times New Roman" w:cs="Times New Roman"/>
          <w:sz w:val="24"/>
          <w:szCs w:val="24"/>
        </w:rPr>
        <w:t xml:space="preserve"> in 2013 and beyond</w:t>
      </w:r>
      <w:r w:rsidR="000E735E" w:rsidRPr="009F1172">
        <w:rPr>
          <w:rFonts w:ascii="Times New Roman" w:hAnsi="Times New Roman" w:cs="Times New Roman"/>
          <w:sz w:val="24"/>
          <w:szCs w:val="24"/>
        </w:rPr>
        <w:t xml:space="preserve">.  </w:t>
      </w:r>
      <w:r w:rsidR="008423C5" w:rsidRPr="009F1172">
        <w:rPr>
          <w:rFonts w:ascii="Times New Roman" w:hAnsi="Times New Roman" w:cs="Times New Roman"/>
          <w:sz w:val="24"/>
          <w:szCs w:val="24"/>
        </w:rPr>
        <w:t>We provide our comments and recommendations below.</w:t>
      </w:r>
    </w:p>
    <w:p w:rsidR="005014FD" w:rsidRPr="009F1172" w:rsidRDefault="005014FD" w:rsidP="00DC0FD3">
      <w:pPr>
        <w:spacing w:after="0" w:line="240" w:lineRule="auto"/>
        <w:rPr>
          <w:rFonts w:ascii="Times New Roman" w:hAnsi="Times New Roman" w:cs="Times New Roman"/>
          <w:b/>
          <w:sz w:val="24"/>
          <w:szCs w:val="24"/>
        </w:rPr>
      </w:pPr>
    </w:p>
    <w:p w:rsidR="003D6602" w:rsidRPr="009F1172" w:rsidRDefault="003D6602" w:rsidP="00DC0FD3">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I.  End Data Blocking</w:t>
      </w:r>
    </w:p>
    <w:p w:rsidR="003D6602" w:rsidRPr="009F1172" w:rsidRDefault="003D6602" w:rsidP="00DC0FD3">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 xml:space="preserve"> </w:t>
      </w:r>
    </w:p>
    <w:p w:rsidR="00523336" w:rsidRPr="009F1172" w:rsidRDefault="009A014D" w:rsidP="003D6602">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Some</w:t>
      </w:r>
      <w:r w:rsidR="00523336" w:rsidRPr="009F1172">
        <w:rPr>
          <w:rFonts w:ascii="Times New Roman" w:hAnsi="Times New Roman" w:cs="Times New Roman"/>
          <w:sz w:val="24"/>
          <w:szCs w:val="24"/>
        </w:rPr>
        <w:t xml:space="preserve"> </w:t>
      </w:r>
      <w:r w:rsidR="00DD1F6B" w:rsidRPr="009F1172">
        <w:rPr>
          <w:rFonts w:ascii="Times New Roman" w:hAnsi="Times New Roman" w:cs="Times New Roman"/>
          <w:sz w:val="24"/>
          <w:szCs w:val="24"/>
        </w:rPr>
        <w:t xml:space="preserve">EHR </w:t>
      </w:r>
      <w:r w:rsidR="00523336" w:rsidRPr="009F1172">
        <w:rPr>
          <w:rFonts w:ascii="Times New Roman" w:hAnsi="Times New Roman" w:cs="Times New Roman"/>
          <w:sz w:val="24"/>
          <w:szCs w:val="24"/>
        </w:rPr>
        <w:t>vendors</w:t>
      </w:r>
      <w:r w:rsidR="007E7685" w:rsidRPr="009F1172">
        <w:rPr>
          <w:rFonts w:ascii="Times New Roman" w:hAnsi="Times New Roman" w:cs="Times New Roman"/>
          <w:sz w:val="24"/>
          <w:szCs w:val="24"/>
        </w:rPr>
        <w:t xml:space="preserve"> and healthcare organizations</w:t>
      </w:r>
      <w:r w:rsidR="00523336" w:rsidRPr="009F1172">
        <w:rPr>
          <w:rFonts w:ascii="Times New Roman" w:hAnsi="Times New Roman" w:cs="Times New Roman"/>
          <w:sz w:val="24"/>
          <w:szCs w:val="24"/>
        </w:rPr>
        <w:t xml:space="preserve"> actively block information exchange </w:t>
      </w:r>
      <w:r w:rsidR="007E7685" w:rsidRPr="009F1172">
        <w:rPr>
          <w:rFonts w:ascii="Times New Roman" w:hAnsi="Times New Roman" w:cs="Times New Roman"/>
          <w:sz w:val="24"/>
          <w:szCs w:val="24"/>
        </w:rPr>
        <w:t xml:space="preserve">between </w:t>
      </w:r>
      <w:r w:rsidR="00523336" w:rsidRPr="009F1172">
        <w:rPr>
          <w:rFonts w:ascii="Times New Roman" w:hAnsi="Times New Roman" w:cs="Times New Roman"/>
          <w:sz w:val="24"/>
          <w:szCs w:val="24"/>
        </w:rPr>
        <w:t xml:space="preserve">providers </w:t>
      </w:r>
      <w:r w:rsidRPr="009F1172">
        <w:rPr>
          <w:rFonts w:ascii="Times New Roman" w:hAnsi="Times New Roman" w:cs="Times New Roman"/>
          <w:sz w:val="24"/>
          <w:szCs w:val="24"/>
        </w:rPr>
        <w:t>and even</w:t>
      </w:r>
      <w:r w:rsidR="00523336" w:rsidRPr="009F1172">
        <w:rPr>
          <w:rFonts w:ascii="Times New Roman" w:hAnsi="Times New Roman" w:cs="Times New Roman"/>
          <w:sz w:val="24"/>
          <w:szCs w:val="24"/>
        </w:rPr>
        <w:t xml:space="preserve"> within institutions</w:t>
      </w:r>
      <w:r w:rsidRPr="009F1172">
        <w:rPr>
          <w:rFonts w:ascii="Times New Roman" w:hAnsi="Times New Roman" w:cs="Times New Roman"/>
          <w:sz w:val="24"/>
          <w:szCs w:val="24"/>
        </w:rPr>
        <w:t xml:space="preserve">.  </w:t>
      </w:r>
      <w:r w:rsidR="00BE6166" w:rsidRPr="009F1172">
        <w:rPr>
          <w:rFonts w:ascii="Times New Roman" w:hAnsi="Times New Roman" w:cs="Times New Roman"/>
          <w:sz w:val="24"/>
          <w:szCs w:val="24"/>
        </w:rPr>
        <w:t>Business models built around</w:t>
      </w:r>
      <w:r w:rsidRPr="009F1172">
        <w:rPr>
          <w:rFonts w:ascii="Times New Roman" w:hAnsi="Times New Roman" w:cs="Times New Roman"/>
          <w:sz w:val="24"/>
          <w:szCs w:val="24"/>
        </w:rPr>
        <w:t xml:space="preserve"> </w:t>
      </w:r>
      <w:r w:rsidR="005F327B" w:rsidRPr="009F1172">
        <w:rPr>
          <w:rFonts w:ascii="Times New Roman" w:hAnsi="Times New Roman" w:cs="Times New Roman"/>
          <w:sz w:val="24"/>
          <w:szCs w:val="24"/>
        </w:rPr>
        <w:t>such data</w:t>
      </w:r>
      <w:r w:rsidRPr="009F1172">
        <w:rPr>
          <w:rFonts w:ascii="Times New Roman" w:hAnsi="Times New Roman" w:cs="Times New Roman"/>
          <w:sz w:val="24"/>
          <w:szCs w:val="24"/>
        </w:rPr>
        <w:t xml:space="preserve"> silos </w:t>
      </w:r>
      <w:r w:rsidR="00523336" w:rsidRPr="009F1172">
        <w:rPr>
          <w:rFonts w:ascii="Times New Roman" w:hAnsi="Times New Roman" w:cs="Times New Roman"/>
          <w:sz w:val="24"/>
          <w:szCs w:val="24"/>
        </w:rPr>
        <w:t>ha</w:t>
      </w:r>
      <w:r w:rsidR="00BE6166" w:rsidRPr="009F1172">
        <w:rPr>
          <w:rFonts w:ascii="Times New Roman" w:hAnsi="Times New Roman" w:cs="Times New Roman"/>
          <w:sz w:val="24"/>
          <w:szCs w:val="24"/>
        </w:rPr>
        <w:t>ve</w:t>
      </w:r>
      <w:r w:rsidR="00523336" w:rsidRPr="009F1172">
        <w:rPr>
          <w:rFonts w:ascii="Times New Roman" w:hAnsi="Times New Roman" w:cs="Times New Roman"/>
          <w:sz w:val="24"/>
          <w:szCs w:val="24"/>
        </w:rPr>
        <w:t xml:space="preserve"> no place in </w:t>
      </w:r>
      <w:r w:rsidR="005F327B" w:rsidRPr="009F1172">
        <w:rPr>
          <w:rFonts w:ascii="Times New Roman" w:hAnsi="Times New Roman" w:cs="Times New Roman"/>
          <w:sz w:val="24"/>
          <w:szCs w:val="24"/>
        </w:rPr>
        <w:t>a</w:t>
      </w:r>
      <w:r w:rsidR="007E7685" w:rsidRPr="009F1172">
        <w:rPr>
          <w:rFonts w:ascii="Times New Roman" w:hAnsi="Times New Roman" w:cs="Times New Roman"/>
          <w:sz w:val="24"/>
          <w:szCs w:val="24"/>
        </w:rPr>
        <w:t xml:space="preserve"> healthcare system </w:t>
      </w:r>
      <w:r w:rsidR="00842268" w:rsidRPr="009F1172">
        <w:rPr>
          <w:rFonts w:ascii="Times New Roman" w:hAnsi="Times New Roman" w:cs="Times New Roman"/>
          <w:sz w:val="24"/>
          <w:szCs w:val="24"/>
        </w:rPr>
        <w:t xml:space="preserve">experiencing </w:t>
      </w:r>
      <w:r w:rsidR="007E7685" w:rsidRPr="009F1172">
        <w:rPr>
          <w:rFonts w:ascii="Times New Roman" w:hAnsi="Times New Roman" w:cs="Times New Roman"/>
          <w:sz w:val="24"/>
          <w:szCs w:val="24"/>
        </w:rPr>
        <w:t xml:space="preserve">the challenges </w:t>
      </w:r>
      <w:r w:rsidR="00842268" w:rsidRPr="009F1172">
        <w:rPr>
          <w:rFonts w:ascii="Times New Roman" w:hAnsi="Times New Roman" w:cs="Times New Roman"/>
          <w:sz w:val="24"/>
          <w:szCs w:val="24"/>
        </w:rPr>
        <w:t>currently faced</w:t>
      </w:r>
      <w:r w:rsidR="007E7685" w:rsidRPr="009F1172">
        <w:rPr>
          <w:rFonts w:ascii="Times New Roman" w:hAnsi="Times New Roman" w:cs="Times New Roman"/>
          <w:sz w:val="24"/>
          <w:szCs w:val="24"/>
        </w:rPr>
        <w:t xml:space="preserve"> in this country</w:t>
      </w:r>
      <w:r w:rsidR="00842268" w:rsidRPr="009F1172">
        <w:rPr>
          <w:rFonts w:ascii="Times New Roman" w:hAnsi="Times New Roman" w:cs="Times New Roman"/>
          <w:sz w:val="24"/>
          <w:szCs w:val="24"/>
        </w:rPr>
        <w:t>.  T</w:t>
      </w:r>
      <w:r w:rsidR="007E7685" w:rsidRPr="009F1172">
        <w:rPr>
          <w:rFonts w:ascii="Times New Roman" w:hAnsi="Times New Roman" w:cs="Times New Roman"/>
          <w:sz w:val="24"/>
          <w:szCs w:val="24"/>
        </w:rPr>
        <w:t>he Meaningful Use</w:t>
      </w:r>
      <w:r w:rsidR="00523336" w:rsidRPr="009F1172">
        <w:rPr>
          <w:rFonts w:ascii="Times New Roman" w:hAnsi="Times New Roman" w:cs="Times New Roman"/>
          <w:sz w:val="24"/>
          <w:szCs w:val="24"/>
        </w:rPr>
        <w:t xml:space="preserve"> </w:t>
      </w:r>
      <w:r w:rsidR="005F327B" w:rsidRPr="009F1172">
        <w:rPr>
          <w:rFonts w:ascii="Times New Roman" w:hAnsi="Times New Roman" w:cs="Times New Roman"/>
          <w:sz w:val="24"/>
          <w:szCs w:val="24"/>
        </w:rPr>
        <w:t>program</w:t>
      </w:r>
      <w:r w:rsidR="00842268" w:rsidRPr="009F1172">
        <w:rPr>
          <w:rFonts w:ascii="Times New Roman" w:hAnsi="Times New Roman" w:cs="Times New Roman"/>
          <w:sz w:val="24"/>
          <w:szCs w:val="24"/>
        </w:rPr>
        <w:t>,</w:t>
      </w:r>
      <w:r w:rsidR="005F327B" w:rsidRPr="009F1172">
        <w:rPr>
          <w:rFonts w:ascii="Times New Roman" w:hAnsi="Times New Roman" w:cs="Times New Roman"/>
          <w:sz w:val="24"/>
          <w:szCs w:val="24"/>
        </w:rPr>
        <w:t xml:space="preserve"> </w:t>
      </w:r>
      <w:r w:rsidR="007E7685" w:rsidRPr="009F1172">
        <w:rPr>
          <w:rFonts w:ascii="Times New Roman" w:hAnsi="Times New Roman" w:cs="Times New Roman"/>
          <w:sz w:val="24"/>
          <w:szCs w:val="24"/>
        </w:rPr>
        <w:t xml:space="preserve">which </w:t>
      </w:r>
      <w:r w:rsidR="004E2A5D" w:rsidRPr="009F1172">
        <w:rPr>
          <w:rFonts w:ascii="Times New Roman" w:hAnsi="Times New Roman" w:cs="Times New Roman"/>
          <w:sz w:val="24"/>
          <w:szCs w:val="24"/>
        </w:rPr>
        <w:t xml:space="preserve">is intended to </w:t>
      </w:r>
      <w:r w:rsidR="00523336" w:rsidRPr="009F1172">
        <w:rPr>
          <w:rFonts w:ascii="Times New Roman" w:hAnsi="Times New Roman" w:cs="Times New Roman"/>
          <w:sz w:val="24"/>
          <w:szCs w:val="24"/>
        </w:rPr>
        <w:t xml:space="preserve">facilitate </w:t>
      </w:r>
      <w:r w:rsidRPr="009F1172">
        <w:rPr>
          <w:rFonts w:ascii="Times New Roman" w:hAnsi="Times New Roman" w:cs="Times New Roman"/>
          <w:sz w:val="24"/>
          <w:szCs w:val="24"/>
        </w:rPr>
        <w:t xml:space="preserve">health </w:t>
      </w:r>
      <w:r w:rsidR="00523336" w:rsidRPr="009F1172">
        <w:rPr>
          <w:rFonts w:ascii="Times New Roman" w:hAnsi="Times New Roman" w:cs="Times New Roman"/>
          <w:sz w:val="24"/>
          <w:szCs w:val="24"/>
        </w:rPr>
        <w:t xml:space="preserve">information </w:t>
      </w:r>
      <w:r w:rsidRPr="009F1172">
        <w:rPr>
          <w:rFonts w:ascii="Times New Roman" w:hAnsi="Times New Roman" w:cs="Times New Roman"/>
          <w:sz w:val="24"/>
          <w:szCs w:val="24"/>
        </w:rPr>
        <w:t>exchange</w:t>
      </w:r>
      <w:r w:rsidR="004E2A5D" w:rsidRPr="009F1172">
        <w:rPr>
          <w:rFonts w:ascii="Times New Roman" w:hAnsi="Times New Roman" w:cs="Times New Roman"/>
          <w:sz w:val="24"/>
          <w:szCs w:val="24"/>
        </w:rPr>
        <w:t xml:space="preserve"> for the public good</w:t>
      </w:r>
      <w:r w:rsidR="004532C8" w:rsidRPr="009F1172">
        <w:rPr>
          <w:rFonts w:ascii="Times New Roman" w:hAnsi="Times New Roman" w:cs="Times New Roman"/>
          <w:sz w:val="24"/>
          <w:szCs w:val="24"/>
        </w:rPr>
        <w:t>,</w:t>
      </w:r>
      <w:r w:rsidR="004E2A5D" w:rsidRPr="009F1172">
        <w:rPr>
          <w:rFonts w:ascii="Times New Roman" w:hAnsi="Times New Roman" w:cs="Times New Roman"/>
          <w:sz w:val="24"/>
          <w:szCs w:val="24"/>
        </w:rPr>
        <w:t xml:space="preserve"> should apply policy levers to challenges not just of standards but governance</w:t>
      </w:r>
      <w:r w:rsidR="004532C8" w:rsidRPr="009F1172">
        <w:rPr>
          <w:rFonts w:ascii="Times New Roman" w:hAnsi="Times New Roman" w:cs="Times New Roman"/>
          <w:sz w:val="24"/>
          <w:szCs w:val="24"/>
        </w:rPr>
        <w:t xml:space="preserve"> to ensure this practice does not continue</w:t>
      </w:r>
      <w:r w:rsidR="00523336" w:rsidRPr="009F1172">
        <w:rPr>
          <w:rFonts w:ascii="Times New Roman" w:hAnsi="Times New Roman" w:cs="Times New Roman"/>
          <w:sz w:val="24"/>
          <w:szCs w:val="24"/>
        </w:rPr>
        <w:t xml:space="preserve">.   </w:t>
      </w:r>
    </w:p>
    <w:p w:rsidR="00523336" w:rsidRPr="009F1172" w:rsidRDefault="00523336" w:rsidP="003D6602">
      <w:pPr>
        <w:spacing w:after="0" w:line="240" w:lineRule="auto"/>
        <w:ind w:firstLine="720"/>
        <w:rPr>
          <w:rFonts w:ascii="Times New Roman" w:hAnsi="Times New Roman" w:cs="Times New Roman"/>
          <w:sz w:val="24"/>
          <w:szCs w:val="24"/>
        </w:rPr>
      </w:pPr>
    </w:p>
    <w:p w:rsidR="004D2D33" w:rsidRPr="009F1172" w:rsidRDefault="00F94393" w:rsidP="003D6602">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Accordingly, w</w:t>
      </w:r>
      <w:r w:rsidR="004D2D33" w:rsidRPr="009F1172">
        <w:rPr>
          <w:rFonts w:ascii="Times New Roman" w:hAnsi="Times New Roman" w:cs="Times New Roman"/>
          <w:sz w:val="24"/>
          <w:szCs w:val="24"/>
        </w:rPr>
        <w:t xml:space="preserve">e encourage </w:t>
      </w:r>
      <w:r w:rsidR="003C7002" w:rsidRPr="009F1172">
        <w:rPr>
          <w:rFonts w:ascii="Times New Roman" w:hAnsi="Times New Roman" w:cs="Times New Roman"/>
          <w:sz w:val="24"/>
          <w:szCs w:val="24"/>
        </w:rPr>
        <w:t>CMS</w:t>
      </w:r>
      <w:r w:rsidR="004D2D33" w:rsidRPr="009F1172">
        <w:rPr>
          <w:rFonts w:ascii="Times New Roman" w:hAnsi="Times New Roman" w:cs="Times New Roman"/>
          <w:sz w:val="24"/>
          <w:szCs w:val="24"/>
        </w:rPr>
        <w:t xml:space="preserve"> to:</w:t>
      </w:r>
    </w:p>
    <w:p w:rsidR="004D2D33" w:rsidRPr="009F1172" w:rsidRDefault="004D2D33" w:rsidP="003D6602">
      <w:pPr>
        <w:spacing w:after="0" w:line="240" w:lineRule="auto"/>
        <w:ind w:firstLine="720"/>
        <w:rPr>
          <w:rFonts w:ascii="Times New Roman" w:hAnsi="Times New Roman" w:cs="Times New Roman"/>
          <w:sz w:val="24"/>
          <w:szCs w:val="24"/>
        </w:rPr>
      </w:pPr>
    </w:p>
    <w:p w:rsidR="004D2D33" w:rsidRPr="009F1172" w:rsidRDefault="004D2D33" w:rsidP="004D2D33">
      <w:pPr>
        <w:pStyle w:val="ListParagraph"/>
        <w:numPr>
          <w:ilvl w:val="0"/>
          <w:numId w:val="11"/>
        </w:numPr>
        <w:spacing w:after="0" w:line="240" w:lineRule="auto"/>
        <w:rPr>
          <w:rFonts w:ascii="Times New Roman" w:hAnsi="Times New Roman" w:cs="Times New Roman"/>
          <w:b/>
          <w:sz w:val="24"/>
          <w:szCs w:val="24"/>
        </w:rPr>
      </w:pPr>
      <w:r w:rsidRPr="009F1172">
        <w:rPr>
          <w:rFonts w:ascii="Times New Roman" w:hAnsi="Times New Roman" w:cs="Times New Roman"/>
          <w:sz w:val="24"/>
          <w:szCs w:val="24"/>
        </w:rPr>
        <w:t xml:space="preserve">Instruct ONC-ACBs to decertify EHR vendor products </w:t>
      </w:r>
      <w:r w:rsidR="00DD24E8" w:rsidRPr="009F1172">
        <w:rPr>
          <w:rFonts w:ascii="Times New Roman" w:hAnsi="Times New Roman" w:cs="Times New Roman"/>
          <w:sz w:val="24"/>
          <w:szCs w:val="24"/>
        </w:rPr>
        <w:t>on a case-by-case basis if the product</w:t>
      </w:r>
      <w:r w:rsidR="000F1304" w:rsidRPr="009F1172">
        <w:rPr>
          <w:rFonts w:ascii="Times New Roman" w:hAnsi="Times New Roman" w:cs="Times New Roman"/>
          <w:sz w:val="24"/>
          <w:szCs w:val="24"/>
        </w:rPr>
        <w:t xml:space="preserve"> cannot perform the function as certified due to </w:t>
      </w:r>
      <w:r w:rsidR="00E350C7" w:rsidRPr="009F1172">
        <w:rPr>
          <w:rFonts w:ascii="Times New Roman" w:hAnsi="Times New Roman" w:cs="Times New Roman"/>
          <w:sz w:val="24"/>
          <w:szCs w:val="24"/>
        </w:rPr>
        <w:t>policies or other efforts to</w:t>
      </w:r>
      <w:r w:rsidR="00DD24E8" w:rsidRPr="009F1172">
        <w:rPr>
          <w:rFonts w:ascii="Times New Roman" w:hAnsi="Times New Roman" w:cs="Times New Roman"/>
          <w:sz w:val="24"/>
          <w:szCs w:val="24"/>
        </w:rPr>
        <w:t xml:space="preserve"> </w:t>
      </w:r>
      <w:r w:rsidR="000F1304" w:rsidRPr="009F1172">
        <w:rPr>
          <w:rFonts w:ascii="Times New Roman" w:hAnsi="Times New Roman" w:cs="Times New Roman"/>
          <w:sz w:val="24"/>
          <w:szCs w:val="24"/>
        </w:rPr>
        <w:t xml:space="preserve">block </w:t>
      </w:r>
      <w:r w:rsidR="00DD24E8" w:rsidRPr="009F1172">
        <w:rPr>
          <w:rFonts w:ascii="Times New Roman" w:hAnsi="Times New Roman" w:cs="Times New Roman"/>
          <w:sz w:val="24"/>
          <w:szCs w:val="24"/>
        </w:rPr>
        <w:t>information exchange</w:t>
      </w:r>
      <w:r w:rsidR="00E350C7" w:rsidRPr="009F1172">
        <w:rPr>
          <w:rFonts w:ascii="Times New Roman" w:hAnsi="Times New Roman" w:cs="Times New Roman"/>
          <w:sz w:val="24"/>
          <w:szCs w:val="24"/>
        </w:rPr>
        <w:t xml:space="preserve"> made by the vendor</w:t>
      </w:r>
      <w:r w:rsidRPr="009F1172">
        <w:rPr>
          <w:rFonts w:ascii="Times New Roman" w:hAnsi="Times New Roman" w:cs="Times New Roman"/>
          <w:sz w:val="24"/>
          <w:szCs w:val="24"/>
        </w:rPr>
        <w:t xml:space="preserve">.  </w:t>
      </w:r>
    </w:p>
    <w:p w:rsidR="004D2D33" w:rsidRPr="009F1172" w:rsidRDefault="004D2D33" w:rsidP="004D2D33">
      <w:pPr>
        <w:pStyle w:val="ListParagraph"/>
        <w:spacing w:after="0" w:line="240" w:lineRule="auto"/>
        <w:ind w:left="1080"/>
        <w:rPr>
          <w:rFonts w:ascii="Times New Roman" w:hAnsi="Times New Roman" w:cs="Times New Roman"/>
          <w:b/>
          <w:sz w:val="24"/>
          <w:szCs w:val="24"/>
        </w:rPr>
      </w:pPr>
    </w:p>
    <w:p w:rsidR="004D2D33" w:rsidRPr="009F1172" w:rsidRDefault="005F327B" w:rsidP="004D2D33">
      <w:pPr>
        <w:pStyle w:val="ListParagraph"/>
        <w:numPr>
          <w:ilvl w:val="0"/>
          <w:numId w:val="11"/>
        </w:numPr>
        <w:spacing w:after="0" w:line="240" w:lineRule="auto"/>
        <w:rPr>
          <w:rFonts w:ascii="Times New Roman" w:hAnsi="Times New Roman" w:cs="Times New Roman"/>
          <w:b/>
          <w:sz w:val="24"/>
          <w:szCs w:val="24"/>
        </w:rPr>
      </w:pPr>
      <w:r w:rsidRPr="009F1172">
        <w:rPr>
          <w:rFonts w:ascii="Times New Roman" w:hAnsi="Times New Roman" w:cs="Times New Roman"/>
          <w:sz w:val="24"/>
          <w:szCs w:val="24"/>
        </w:rPr>
        <w:t>R</w:t>
      </w:r>
      <w:r w:rsidR="004D2D33" w:rsidRPr="009F1172">
        <w:rPr>
          <w:rFonts w:ascii="Times New Roman" w:hAnsi="Times New Roman" w:cs="Times New Roman"/>
          <w:sz w:val="24"/>
          <w:szCs w:val="24"/>
        </w:rPr>
        <w:t xml:space="preserve">equire </w:t>
      </w:r>
      <w:r w:rsidRPr="009F1172">
        <w:rPr>
          <w:rFonts w:ascii="Times New Roman" w:hAnsi="Times New Roman" w:cs="Times New Roman"/>
          <w:sz w:val="24"/>
          <w:szCs w:val="24"/>
        </w:rPr>
        <w:t>makers of</w:t>
      </w:r>
      <w:r w:rsidR="004D2D33" w:rsidRPr="009F1172">
        <w:rPr>
          <w:rFonts w:ascii="Times New Roman" w:hAnsi="Times New Roman" w:cs="Times New Roman"/>
          <w:sz w:val="24"/>
          <w:szCs w:val="24"/>
        </w:rPr>
        <w:t xml:space="preserve"> EHR products to </w:t>
      </w:r>
      <w:r w:rsidR="00DD1F6B" w:rsidRPr="009F1172">
        <w:rPr>
          <w:rFonts w:ascii="Times New Roman" w:hAnsi="Times New Roman" w:cs="Times New Roman"/>
          <w:sz w:val="24"/>
          <w:szCs w:val="24"/>
        </w:rPr>
        <w:t xml:space="preserve">certify </w:t>
      </w:r>
      <w:r w:rsidR="004E2A5D" w:rsidRPr="009F1172">
        <w:rPr>
          <w:rFonts w:ascii="Times New Roman" w:hAnsi="Times New Roman" w:cs="Times New Roman"/>
          <w:sz w:val="24"/>
          <w:szCs w:val="24"/>
        </w:rPr>
        <w:t xml:space="preserve">that </w:t>
      </w:r>
      <w:r w:rsidR="00DD1F6B" w:rsidRPr="009F1172">
        <w:rPr>
          <w:rFonts w:ascii="Times New Roman" w:hAnsi="Times New Roman" w:cs="Times New Roman"/>
          <w:sz w:val="24"/>
          <w:szCs w:val="24"/>
        </w:rPr>
        <w:t>the</w:t>
      </w:r>
      <w:r w:rsidRPr="009F1172">
        <w:rPr>
          <w:rFonts w:ascii="Times New Roman" w:hAnsi="Times New Roman" w:cs="Times New Roman"/>
          <w:sz w:val="24"/>
          <w:szCs w:val="24"/>
        </w:rPr>
        <w:t>ir products</w:t>
      </w:r>
      <w:r w:rsidR="00DD1F6B" w:rsidRPr="009F1172">
        <w:rPr>
          <w:rFonts w:ascii="Times New Roman" w:hAnsi="Times New Roman" w:cs="Times New Roman"/>
          <w:sz w:val="24"/>
          <w:szCs w:val="24"/>
        </w:rPr>
        <w:t xml:space="preserve"> do not block information exchange</w:t>
      </w:r>
      <w:r w:rsidRPr="009F1172">
        <w:rPr>
          <w:rFonts w:ascii="Times New Roman" w:hAnsi="Times New Roman" w:cs="Times New Roman"/>
          <w:sz w:val="24"/>
          <w:szCs w:val="24"/>
        </w:rPr>
        <w:t xml:space="preserve"> under EHR certification standards in 2014</w:t>
      </w:r>
      <w:r w:rsidR="000F1304" w:rsidRPr="009F1172">
        <w:rPr>
          <w:rFonts w:ascii="Times New Roman" w:hAnsi="Times New Roman" w:cs="Times New Roman"/>
          <w:sz w:val="24"/>
          <w:szCs w:val="24"/>
        </w:rPr>
        <w:t xml:space="preserve"> and can reliably perform the functionality to which they have been certified</w:t>
      </w:r>
      <w:r w:rsidR="00DD1F6B" w:rsidRPr="009F1172">
        <w:rPr>
          <w:rFonts w:ascii="Times New Roman" w:hAnsi="Times New Roman" w:cs="Times New Roman"/>
          <w:sz w:val="24"/>
          <w:szCs w:val="24"/>
        </w:rPr>
        <w:t>.  EHR vendors who pursue blocking strateg</w:t>
      </w:r>
      <w:r w:rsidRPr="009F1172">
        <w:rPr>
          <w:rFonts w:ascii="Times New Roman" w:hAnsi="Times New Roman" w:cs="Times New Roman"/>
          <w:sz w:val="24"/>
          <w:szCs w:val="24"/>
        </w:rPr>
        <w:t>ies</w:t>
      </w:r>
      <w:r w:rsidR="00DD1F6B" w:rsidRPr="009F1172">
        <w:rPr>
          <w:rFonts w:ascii="Times New Roman" w:hAnsi="Times New Roman" w:cs="Times New Roman"/>
          <w:sz w:val="24"/>
          <w:szCs w:val="24"/>
        </w:rPr>
        <w:t xml:space="preserve"> </w:t>
      </w:r>
      <w:r w:rsidRPr="009F1172">
        <w:rPr>
          <w:rFonts w:ascii="Times New Roman" w:hAnsi="Times New Roman" w:cs="Times New Roman"/>
          <w:sz w:val="24"/>
          <w:szCs w:val="24"/>
        </w:rPr>
        <w:t>through one or more products should likewise be decertified</w:t>
      </w:r>
      <w:r w:rsidR="00DD1F6B" w:rsidRPr="009F1172">
        <w:rPr>
          <w:rFonts w:ascii="Times New Roman" w:hAnsi="Times New Roman" w:cs="Times New Roman"/>
          <w:sz w:val="24"/>
          <w:szCs w:val="24"/>
        </w:rPr>
        <w:t xml:space="preserve">.  </w:t>
      </w:r>
      <w:r w:rsidR="004D2D33" w:rsidRPr="009F1172">
        <w:rPr>
          <w:rFonts w:ascii="Times New Roman" w:hAnsi="Times New Roman" w:cs="Times New Roman"/>
          <w:sz w:val="24"/>
          <w:szCs w:val="24"/>
        </w:rPr>
        <w:t xml:space="preserve">  </w:t>
      </w:r>
    </w:p>
    <w:p w:rsidR="00802DC1" w:rsidRPr="009F1172" w:rsidRDefault="00802DC1" w:rsidP="00802DC1">
      <w:pPr>
        <w:pStyle w:val="ListParagraph"/>
        <w:rPr>
          <w:rFonts w:ascii="Times New Roman" w:hAnsi="Times New Roman" w:cs="Times New Roman"/>
          <w:b/>
          <w:sz w:val="24"/>
          <w:szCs w:val="24"/>
        </w:rPr>
      </w:pPr>
    </w:p>
    <w:p w:rsidR="00802DC1" w:rsidRPr="009F1172" w:rsidRDefault="000F1304" w:rsidP="00802DC1">
      <w:pPr>
        <w:pStyle w:val="ListParagraph"/>
        <w:numPr>
          <w:ilvl w:val="0"/>
          <w:numId w:val="11"/>
        </w:numPr>
        <w:spacing w:after="0" w:line="240" w:lineRule="auto"/>
        <w:rPr>
          <w:rFonts w:ascii="Times New Roman" w:hAnsi="Times New Roman" w:cs="Times New Roman"/>
          <w:b/>
          <w:sz w:val="24"/>
          <w:szCs w:val="24"/>
        </w:rPr>
      </w:pPr>
      <w:r w:rsidRPr="009F1172">
        <w:rPr>
          <w:rFonts w:ascii="Times New Roman" w:hAnsi="Times New Roman" w:cs="Times New Roman"/>
          <w:sz w:val="24"/>
          <w:szCs w:val="24"/>
        </w:rPr>
        <w:t xml:space="preserve">When an exchange failure is reported to an ONC-ACB and it has been determined that it was not due to a technology issue, but rather a provider practice, those </w:t>
      </w:r>
      <w:r w:rsidR="00E350C7" w:rsidRPr="009F1172">
        <w:rPr>
          <w:rFonts w:ascii="Times New Roman" w:hAnsi="Times New Roman" w:cs="Times New Roman"/>
          <w:sz w:val="24"/>
          <w:szCs w:val="24"/>
        </w:rPr>
        <w:t xml:space="preserve">healthcare professionals or organizations </w:t>
      </w:r>
      <w:r w:rsidRPr="009F1172">
        <w:rPr>
          <w:rFonts w:ascii="Times New Roman" w:hAnsi="Times New Roman" w:cs="Times New Roman"/>
          <w:sz w:val="24"/>
          <w:szCs w:val="24"/>
        </w:rPr>
        <w:t>should then be made ineligible for the program.</w:t>
      </w:r>
      <w:r w:rsidR="00F205F5" w:rsidRPr="009F1172">
        <w:rPr>
          <w:rFonts w:ascii="Times New Roman" w:hAnsi="Times New Roman" w:cs="Times New Roman"/>
          <w:sz w:val="24"/>
          <w:szCs w:val="24"/>
        </w:rPr>
        <w:tab/>
      </w:r>
    </w:p>
    <w:p w:rsidR="00934C8C" w:rsidRPr="009F1172" w:rsidRDefault="00934C8C" w:rsidP="00CF7324">
      <w:pPr>
        <w:pStyle w:val="ListParagraph"/>
        <w:rPr>
          <w:rFonts w:ascii="Times New Roman" w:hAnsi="Times New Roman" w:cs="Times New Roman"/>
          <w:b/>
          <w:sz w:val="24"/>
          <w:szCs w:val="24"/>
        </w:rPr>
      </w:pPr>
    </w:p>
    <w:p w:rsidR="00934C8C" w:rsidRPr="009F1172" w:rsidRDefault="00934C8C" w:rsidP="00802DC1">
      <w:pPr>
        <w:pStyle w:val="ListParagraph"/>
        <w:numPr>
          <w:ilvl w:val="0"/>
          <w:numId w:val="11"/>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Include electronic submission of consolidated CDA to HIEs to create a minimum repository of standard health information that supports shared viewing of current health information across providers, institutions, patients and caregivers.</w:t>
      </w:r>
    </w:p>
    <w:p w:rsidR="00DD24E8" w:rsidRPr="009F1172" w:rsidRDefault="00DD24E8" w:rsidP="00DC0FD3">
      <w:pPr>
        <w:spacing w:after="0" w:line="240" w:lineRule="auto"/>
        <w:rPr>
          <w:rFonts w:ascii="Times New Roman" w:hAnsi="Times New Roman" w:cs="Times New Roman"/>
          <w:sz w:val="24"/>
          <w:szCs w:val="24"/>
        </w:rPr>
      </w:pPr>
    </w:p>
    <w:p w:rsidR="00DC0FD3" w:rsidRPr="009F1172" w:rsidRDefault="00FA6594" w:rsidP="00DC0FD3">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I</w:t>
      </w:r>
      <w:r w:rsidR="00DC0FD3" w:rsidRPr="009F1172">
        <w:rPr>
          <w:rFonts w:ascii="Times New Roman" w:hAnsi="Times New Roman" w:cs="Times New Roman"/>
          <w:b/>
          <w:sz w:val="24"/>
          <w:szCs w:val="24"/>
        </w:rPr>
        <w:t xml:space="preserve">I. </w:t>
      </w:r>
      <w:r w:rsidR="003D6602" w:rsidRPr="009F1172">
        <w:rPr>
          <w:rFonts w:ascii="Times New Roman" w:hAnsi="Times New Roman" w:cs="Times New Roman"/>
          <w:b/>
          <w:sz w:val="24"/>
          <w:szCs w:val="24"/>
        </w:rPr>
        <w:t xml:space="preserve">Learn </w:t>
      </w:r>
      <w:r w:rsidR="00FB2597" w:rsidRPr="009F1172">
        <w:rPr>
          <w:rFonts w:ascii="Times New Roman" w:hAnsi="Times New Roman" w:cs="Times New Roman"/>
          <w:b/>
          <w:sz w:val="24"/>
          <w:szCs w:val="24"/>
        </w:rPr>
        <w:t>Where Exchange Problems Exist and How to Correct Them</w:t>
      </w:r>
    </w:p>
    <w:p w:rsidR="00DC0FD3" w:rsidRPr="009F1172" w:rsidRDefault="00DC0FD3" w:rsidP="00DC0FD3">
      <w:pPr>
        <w:spacing w:after="0" w:line="240" w:lineRule="auto"/>
        <w:rPr>
          <w:rFonts w:ascii="Times New Roman" w:hAnsi="Times New Roman" w:cs="Times New Roman"/>
          <w:sz w:val="24"/>
          <w:szCs w:val="24"/>
        </w:rPr>
      </w:pPr>
    </w:p>
    <w:p w:rsidR="00373505" w:rsidRPr="009F1172" w:rsidRDefault="00350481" w:rsidP="001B490F">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For 2013,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is proposing to eliminate the current test for exchange of clinical data</w:t>
      </w:r>
      <w:r w:rsidR="00085C7F" w:rsidRPr="009F1172">
        <w:rPr>
          <w:rFonts w:ascii="Times New Roman" w:hAnsi="Times New Roman" w:cs="Times New Roman"/>
          <w:sz w:val="24"/>
          <w:szCs w:val="24"/>
        </w:rPr>
        <w:t>,</w:t>
      </w:r>
      <w:r w:rsidR="00870FA4" w:rsidRPr="009F1172">
        <w:rPr>
          <w:rFonts w:ascii="Times New Roman" w:hAnsi="Times New Roman" w:cs="Times New Roman"/>
          <w:sz w:val="24"/>
          <w:szCs w:val="24"/>
        </w:rPr>
        <w:t xml:space="preserve"> because </w:t>
      </w:r>
      <w:r w:rsidR="00DD1F6B" w:rsidRPr="009F1172">
        <w:rPr>
          <w:rFonts w:ascii="Times New Roman" w:hAnsi="Times New Roman" w:cs="Times New Roman"/>
          <w:sz w:val="24"/>
          <w:szCs w:val="24"/>
        </w:rPr>
        <w:t xml:space="preserve">the Department </w:t>
      </w:r>
      <w:r w:rsidR="00870FA4" w:rsidRPr="009F1172">
        <w:rPr>
          <w:rFonts w:ascii="Times New Roman" w:hAnsi="Times New Roman" w:cs="Times New Roman"/>
          <w:sz w:val="24"/>
          <w:szCs w:val="24"/>
        </w:rPr>
        <w:t>found the requirement to be “surprisingly difficult for providers to understand”</w:t>
      </w:r>
      <w:r w:rsidRPr="009F1172">
        <w:rPr>
          <w:rFonts w:ascii="Times New Roman" w:hAnsi="Times New Roman" w:cs="Times New Roman"/>
          <w:sz w:val="24"/>
          <w:szCs w:val="24"/>
        </w:rPr>
        <w:t xml:space="preserve">.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requested comments on four options</w:t>
      </w:r>
      <w:r w:rsidR="00644966" w:rsidRPr="009F1172">
        <w:rPr>
          <w:rFonts w:ascii="Times New Roman" w:hAnsi="Times New Roman" w:cs="Times New Roman"/>
          <w:sz w:val="24"/>
          <w:szCs w:val="24"/>
        </w:rPr>
        <w:t xml:space="preserve">, including </w:t>
      </w:r>
      <w:r w:rsidR="00870FA4" w:rsidRPr="009F1172">
        <w:rPr>
          <w:rFonts w:ascii="Times New Roman" w:hAnsi="Times New Roman" w:cs="Times New Roman"/>
          <w:sz w:val="24"/>
          <w:szCs w:val="24"/>
        </w:rPr>
        <w:t>mov</w:t>
      </w:r>
      <w:r w:rsidR="00644966" w:rsidRPr="009F1172">
        <w:rPr>
          <w:rFonts w:ascii="Times New Roman" w:hAnsi="Times New Roman" w:cs="Times New Roman"/>
          <w:sz w:val="24"/>
          <w:szCs w:val="24"/>
        </w:rPr>
        <w:t>ing</w:t>
      </w:r>
      <w:r w:rsidR="00870FA4" w:rsidRPr="009F1172">
        <w:rPr>
          <w:rFonts w:ascii="Times New Roman" w:hAnsi="Times New Roman" w:cs="Times New Roman"/>
          <w:sz w:val="24"/>
          <w:szCs w:val="24"/>
        </w:rPr>
        <w:t xml:space="preserve"> to actual electronic submission of a summary of care document for a real patient either to another provider of care at a transition or referral or to a patient authorized entity.  </w:t>
      </w:r>
    </w:p>
    <w:p w:rsidR="00373505" w:rsidRPr="009F1172" w:rsidRDefault="00373505" w:rsidP="001B490F">
      <w:pPr>
        <w:spacing w:after="0" w:line="240" w:lineRule="auto"/>
        <w:ind w:firstLine="720"/>
        <w:rPr>
          <w:rFonts w:ascii="Times New Roman" w:hAnsi="Times New Roman" w:cs="Times New Roman"/>
          <w:sz w:val="24"/>
          <w:szCs w:val="24"/>
        </w:rPr>
      </w:pPr>
    </w:p>
    <w:p w:rsidR="00350481" w:rsidRPr="009F1172" w:rsidRDefault="00BD38F8" w:rsidP="001B490F">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lastRenderedPageBreak/>
        <w:t xml:space="preserve">We support </w:t>
      </w:r>
      <w:r w:rsidR="00863783" w:rsidRPr="009F1172">
        <w:rPr>
          <w:rFonts w:ascii="Times New Roman" w:hAnsi="Times New Roman" w:cs="Times New Roman"/>
          <w:sz w:val="24"/>
          <w:szCs w:val="24"/>
        </w:rPr>
        <w:t xml:space="preserve">maintaining the test of clinical exchange </w:t>
      </w:r>
      <w:r w:rsidR="00373505" w:rsidRPr="009F1172">
        <w:rPr>
          <w:rFonts w:ascii="Times New Roman" w:hAnsi="Times New Roman" w:cs="Times New Roman"/>
          <w:sz w:val="24"/>
          <w:szCs w:val="24"/>
        </w:rPr>
        <w:t xml:space="preserve">because it </w:t>
      </w:r>
      <w:r w:rsidR="00DD1F6B" w:rsidRPr="009F1172">
        <w:rPr>
          <w:rFonts w:ascii="Times New Roman" w:hAnsi="Times New Roman" w:cs="Times New Roman"/>
          <w:sz w:val="24"/>
          <w:szCs w:val="24"/>
        </w:rPr>
        <w:t xml:space="preserve">will provide </w:t>
      </w:r>
      <w:r w:rsidR="0042566B" w:rsidRPr="009F1172">
        <w:rPr>
          <w:rFonts w:ascii="Times New Roman" w:hAnsi="Times New Roman" w:cs="Times New Roman"/>
          <w:sz w:val="24"/>
          <w:szCs w:val="24"/>
        </w:rPr>
        <w:t xml:space="preserve">CMS with </w:t>
      </w:r>
      <w:r w:rsidR="00DD1F6B" w:rsidRPr="009F1172">
        <w:rPr>
          <w:rFonts w:ascii="Times New Roman" w:hAnsi="Times New Roman" w:cs="Times New Roman"/>
          <w:sz w:val="24"/>
          <w:szCs w:val="24"/>
        </w:rPr>
        <w:t xml:space="preserve">a valuable tool to determine where exchange problems exist and how to correct them.  </w:t>
      </w:r>
      <w:r w:rsidR="00977C12" w:rsidRPr="009F1172">
        <w:rPr>
          <w:rFonts w:ascii="Times New Roman" w:hAnsi="Times New Roman" w:cs="Times New Roman"/>
          <w:sz w:val="24"/>
          <w:szCs w:val="24"/>
        </w:rPr>
        <w:t>Likewise, r</w:t>
      </w:r>
      <w:r w:rsidR="00DD1F6B" w:rsidRPr="009F1172">
        <w:rPr>
          <w:rFonts w:ascii="Times New Roman" w:hAnsi="Times New Roman" w:cs="Times New Roman"/>
          <w:sz w:val="24"/>
          <w:szCs w:val="24"/>
        </w:rPr>
        <w:t xml:space="preserve">etaining the test will allow </w:t>
      </w:r>
      <w:r w:rsidR="00977C12" w:rsidRPr="009F1172">
        <w:rPr>
          <w:rFonts w:ascii="Times New Roman" w:hAnsi="Times New Roman" w:cs="Times New Roman"/>
          <w:sz w:val="24"/>
          <w:szCs w:val="24"/>
        </w:rPr>
        <w:t xml:space="preserve">providers </w:t>
      </w:r>
      <w:r w:rsidR="00DD1F6B" w:rsidRPr="009F1172">
        <w:rPr>
          <w:rFonts w:ascii="Times New Roman" w:hAnsi="Times New Roman" w:cs="Times New Roman"/>
          <w:sz w:val="24"/>
          <w:szCs w:val="24"/>
        </w:rPr>
        <w:t>to know if their systems work</w:t>
      </w:r>
      <w:r w:rsidR="0042566B" w:rsidRPr="009F1172">
        <w:rPr>
          <w:rFonts w:ascii="Times New Roman" w:hAnsi="Times New Roman" w:cs="Times New Roman"/>
          <w:sz w:val="24"/>
          <w:szCs w:val="24"/>
        </w:rPr>
        <w:t>,</w:t>
      </w:r>
      <w:r w:rsidR="00DD1F6B" w:rsidRPr="009F1172">
        <w:rPr>
          <w:rFonts w:ascii="Times New Roman" w:hAnsi="Times New Roman" w:cs="Times New Roman"/>
          <w:sz w:val="24"/>
          <w:szCs w:val="24"/>
        </w:rPr>
        <w:t xml:space="preserve"> and </w:t>
      </w:r>
      <w:r w:rsidR="00F86C44" w:rsidRPr="009F1172">
        <w:rPr>
          <w:rFonts w:ascii="Times New Roman" w:hAnsi="Times New Roman" w:cs="Times New Roman"/>
          <w:sz w:val="24"/>
          <w:szCs w:val="24"/>
        </w:rPr>
        <w:t xml:space="preserve">it </w:t>
      </w:r>
      <w:r w:rsidR="00DD1F6B" w:rsidRPr="009F1172">
        <w:rPr>
          <w:rFonts w:ascii="Times New Roman" w:hAnsi="Times New Roman" w:cs="Times New Roman"/>
          <w:sz w:val="24"/>
          <w:szCs w:val="24"/>
        </w:rPr>
        <w:t xml:space="preserve">will assist them in better understanding the </w:t>
      </w:r>
      <w:r w:rsidR="00977C12" w:rsidRPr="009F1172">
        <w:rPr>
          <w:rFonts w:ascii="Times New Roman" w:hAnsi="Times New Roman" w:cs="Times New Roman"/>
          <w:sz w:val="24"/>
          <w:szCs w:val="24"/>
        </w:rPr>
        <w:t xml:space="preserve">necessary </w:t>
      </w:r>
      <w:r w:rsidR="00DD1F6B" w:rsidRPr="009F1172">
        <w:rPr>
          <w:rFonts w:ascii="Times New Roman" w:hAnsi="Times New Roman" w:cs="Times New Roman"/>
          <w:sz w:val="24"/>
          <w:szCs w:val="24"/>
        </w:rPr>
        <w:t>workflow</w:t>
      </w:r>
      <w:r w:rsidR="00977C12" w:rsidRPr="009F1172">
        <w:rPr>
          <w:rFonts w:ascii="Times New Roman" w:hAnsi="Times New Roman" w:cs="Times New Roman"/>
          <w:sz w:val="24"/>
          <w:szCs w:val="24"/>
        </w:rPr>
        <w:t xml:space="preserve"> changes</w:t>
      </w:r>
      <w:r w:rsidR="00DD1F6B" w:rsidRPr="009F1172">
        <w:rPr>
          <w:rFonts w:ascii="Times New Roman" w:hAnsi="Times New Roman" w:cs="Times New Roman"/>
          <w:sz w:val="24"/>
          <w:szCs w:val="24"/>
        </w:rPr>
        <w:t xml:space="preserve"> that might be required by the more robust Stage 2 requirements. </w:t>
      </w:r>
      <w:r w:rsidR="007F0990" w:rsidRPr="009F1172">
        <w:rPr>
          <w:rFonts w:ascii="Times New Roman" w:hAnsi="Times New Roman" w:cs="Times New Roman"/>
          <w:sz w:val="24"/>
          <w:szCs w:val="24"/>
        </w:rPr>
        <w:t xml:space="preserve"> </w:t>
      </w:r>
      <w:r w:rsidR="00FB2597" w:rsidRPr="009F1172">
        <w:rPr>
          <w:rFonts w:ascii="Times New Roman" w:hAnsi="Times New Roman" w:cs="Times New Roman"/>
          <w:sz w:val="24"/>
          <w:szCs w:val="24"/>
        </w:rPr>
        <w:t xml:space="preserve">We suggest </w:t>
      </w:r>
      <w:r w:rsidRPr="009F1172">
        <w:rPr>
          <w:rFonts w:ascii="Times New Roman" w:hAnsi="Times New Roman" w:cs="Times New Roman"/>
          <w:sz w:val="24"/>
          <w:szCs w:val="24"/>
        </w:rPr>
        <w:t xml:space="preserve">reporting </w:t>
      </w:r>
      <w:r w:rsidR="008D0D57" w:rsidRPr="009F1172">
        <w:rPr>
          <w:rFonts w:ascii="Times New Roman" w:hAnsi="Times New Roman" w:cs="Times New Roman"/>
          <w:sz w:val="24"/>
          <w:szCs w:val="24"/>
        </w:rPr>
        <w:t xml:space="preserve">data exchange test results, even </w:t>
      </w:r>
      <w:r w:rsidRPr="009F1172">
        <w:rPr>
          <w:rFonts w:ascii="Times New Roman" w:hAnsi="Times New Roman" w:cs="Times New Roman"/>
          <w:sz w:val="24"/>
          <w:szCs w:val="24"/>
        </w:rPr>
        <w:t xml:space="preserve">unsuccessful </w:t>
      </w:r>
      <w:r w:rsidR="008D0D57" w:rsidRPr="009F1172">
        <w:rPr>
          <w:rFonts w:ascii="Times New Roman" w:hAnsi="Times New Roman" w:cs="Times New Roman"/>
          <w:sz w:val="24"/>
          <w:szCs w:val="24"/>
        </w:rPr>
        <w:t>ones,</w:t>
      </w:r>
      <w:r w:rsidRPr="009F1172">
        <w:rPr>
          <w:rFonts w:ascii="Times New Roman" w:hAnsi="Times New Roman" w:cs="Times New Roman"/>
          <w:sz w:val="24"/>
          <w:szCs w:val="24"/>
        </w:rPr>
        <w:t xml:space="preserve"> </w:t>
      </w:r>
      <w:r w:rsidR="00FB2597" w:rsidRPr="009F1172">
        <w:rPr>
          <w:rFonts w:ascii="Times New Roman" w:hAnsi="Times New Roman" w:cs="Times New Roman"/>
          <w:sz w:val="24"/>
          <w:szCs w:val="24"/>
        </w:rPr>
        <w:t xml:space="preserve">to </w:t>
      </w:r>
      <w:r w:rsidR="00D86F83" w:rsidRPr="009F1172">
        <w:rPr>
          <w:rFonts w:ascii="Times New Roman" w:hAnsi="Times New Roman" w:cs="Times New Roman"/>
          <w:sz w:val="24"/>
          <w:szCs w:val="24"/>
        </w:rPr>
        <w:t>ONC-ACBs</w:t>
      </w:r>
      <w:r w:rsidR="00FB2597" w:rsidRPr="009F1172">
        <w:rPr>
          <w:rFonts w:ascii="Times New Roman" w:hAnsi="Times New Roman" w:cs="Times New Roman"/>
          <w:sz w:val="24"/>
          <w:szCs w:val="24"/>
        </w:rPr>
        <w:t>.</w:t>
      </w:r>
      <w:r w:rsidR="00017221" w:rsidRPr="009F1172">
        <w:rPr>
          <w:rFonts w:ascii="Times New Roman" w:hAnsi="Times New Roman" w:cs="Times New Roman"/>
          <w:sz w:val="24"/>
          <w:szCs w:val="24"/>
        </w:rPr>
        <w:t xml:space="preserve">  Any unsuccessful test would include the details of test and the reason for failure.  </w:t>
      </w:r>
      <w:r w:rsidRPr="009F1172">
        <w:rPr>
          <w:rFonts w:ascii="Times New Roman" w:hAnsi="Times New Roman" w:cs="Times New Roman"/>
          <w:sz w:val="24"/>
          <w:szCs w:val="24"/>
        </w:rPr>
        <w:t>T</w:t>
      </w:r>
      <w:r w:rsidR="00017221" w:rsidRPr="009F1172">
        <w:rPr>
          <w:rFonts w:ascii="Times New Roman" w:hAnsi="Times New Roman" w:cs="Times New Roman"/>
          <w:sz w:val="24"/>
          <w:szCs w:val="24"/>
        </w:rPr>
        <w:t xml:space="preserve">his reporting </w:t>
      </w:r>
      <w:r w:rsidR="00C03B6F" w:rsidRPr="009F1172">
        <w:rPr>
          <w:rFonts w:ascii="Times New Roman" w:hAnsi="Times New Roman" w:cs="Times New Roman"/>
          <w:sz w:val="24"/>
          <w:szCs w:val="24"/>
        </w:rPr>
        <w:t>c</w:t>
      </w:r>
      <w:r w:rsidRPr="009F1172">
        <w:rPr>
          <w:rFonts w:ascii="Times New Roman" w:hAnsi="Times New Roman" w:cs="Times New Roman"/>
          <w:sz w:val="24"/>
          <w:szCs w:val="24"/>
        </w:rPr>
        <w:t>ould</w:t>
      </w:r>
      <w:r w:rsidR="00017221" w:rsidRPr="009F1172">
        <w:rPr>
          <w:rFonts w:ascii="Times New Roman" w:hAnsi="Times New Roman" w:cs="Times New Roman"/>
          <w:sz w:val="24"/>
          <w:szCs w:val="24"/>
        </w:rPr>
        <w:t xml:space="preserve"> be similar to </w:t>
      </w:r>
      <w:r w:rsidR="00C03B6F" w:rsidRPr="009F1172">
        <w:rPr>
          <w:rFonts w:ascii="Times New Roman" w:hAnsi="Times New Roman" w:cs="Times New Roman"/>
          <w:sz w:val="24"/>
          <w:szCs w:val="24"/>
        </w:rPr>
        <w:t xml:space="preserve">the </w:t>
      </w:r>
      <w:r w:rsidRPr="009F1172">
        <w:rPr>
          <w:rFonts w:ascii="Times New Roman" w:hAnsi="Times New Roman" w:cs="Times New Roman"/>
          <w:sz w:val="24"/>
          <w:szCs w:val="24"/>
        </w:rPr>
        <w:t xml:space="preserve">error reporting system used by </w:t>
      </w:r>
      <w:r w:rsidR="00017221" w:rsidRPr="009F1172">
        <w:rPr>
          <w:rFonts w:ascii="Times New Roman" w:hAnsi="Times New Roman" w:cs="Times New Roman"/>
          <w:sz w:val="24"/>
          <w:szCs w:val="24"/>
        </w:rPr>
        <w:t>Microsoft Office.</w:t>
      </w:r>
      <w:r w:rsidR="00FB2597" w:rsidRPr="009F1172">
        <w:rPr>
          <w:rFonts w:ascii="Times New Roman" w:hAnsi="Times New Roman" w:cs="Times New Roman"/>
          <w:sz w:val="24"/>
          <w:szCs w:val="24"/>
        </w:rPr>
        <w:t xml:space="preserve">  </w:t>
      </w:r>
      <w:r w:rsidRPr="009F1172">
        <w:rPr>
          <w:rFonts w:ascii="Times New Roman" w:hAnsi="Times New Roman" w:cs="Times New Roman"/>
          <w:sz w:val="24"/>
          <w:szCs w:val="24"/>
        </w:rPr>
        <w:t>ONC</w:t>
      </w:r>
      <w:r w:rsidR="00350481" w:rsidRPr="009F1172">
        <w:rPr>
          <w:rFonts w:ascii="Times New Roman" w:hAnsi="Times New Roman" w:cs="Times New Roman"/>
          <w:sz w:val="24"/>
          <w:szCs w:val="24"/>
        </w:rPr>
        <w:t xml:space="preserve"> and </w:t>
      </w:r>
      <w:r w:rsidRPr="009F1172">
        <w:rPr>
          <w:rFonts w:ascii="Times New Roman" w:hAnsi="Times New Roman" w:cs="Times New Roman"/>
          <w:sz w:val="24"/>
          <w:szCs w:val="24"/>
        </w:rPr>
        <w:t>software vendors</w:t>
      </w:r>
      <w:r w:rsidR="00350481" w:rsidRPr="009F1172">
        <w:rPr>
          <w:rFonts w:ascii="Times New Roman" w:hAnsi="Times New Roman" w:cs="Times New Roman"/>
          <w:sz w:val="24"/>
          <w:szCs w:val="24"/>
        </w:rPr>
        <w:t xml:space="preserve"> would then </w:t>
      </w:r>
      <w:r w:rsidR="00DD1F6B" w:rsidRPr="009F1172">
        <w:rPr>
          <w:rFonts w:ascii="Times New Roman" w:hAnsi="Times New Roman" w:cs="Times New Roman"/>
          <w:sz w:val="24"/>
          <w:szCs w:val="24"/>
        </w:rPr>
        <w:t xml:space="preserve">have actual data </w:t>
      </w:r>
      <w:r w:rsidRPr="009F1172">
        <w:rPr>
          <w:rFonts w:ascii="Times New Roman" w:hAnsi="Times New Roman" w:cs="Times New Roman"/>
          <w:sz w:val="24"/>
          <w:szCs w:val="24"/>
        </w:rPr>
        <w:t xml:space="preserve">with which </w:t>
      </w:r>
      <w:r w:rsidR="00DD1F6B" w:rsidRPr="009F1172">
        <w:rPr>
          <w:rFonts w:ascii="Times New Roman" w:hAnsi="Times New Roman" w:cs="Times New Roman"/>
          <w:sz w:val="24"/>
          <w:szCs w:val="24"/>
        </w:rPr>
        <w:t xml:space="preserve">to address any emerging problems.  </w:t>
      </w:r>
    </w:p>
    <w:p w:rsidR="001B490F" w:rsidRPr="009F1172" w:rsidRDefault="001B490F" w:rsidP="00EE45F2">
      <w:pPr>
        <w:spacing w:after="0" w:line="240" w:lineRule="auto"/>
        <w:rPr>
          <w:rFonts w:ascii="Times New Roman" w:hAnsi="Times New Roman" w:cs="Times New Roman"/>
          <w:b/>
          <w:sz w:val="24"/>
          <w:szCs w:val="24"/>
        </w:rPr>
      </w:pPr>
    </w:p>
    <w:p w:rsidR="00EE45F2" w:rsidRPr="009F1172" w:rsidRDefault="00EE45F2" w:rsidP="00EE45F2">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I</w:t>
      </w:r>
      <w:r w:rsidR="00FA6594" w:rsidRPr="009F1172">
        <w:rPr>
          <w:rFonts w:ascii="Times New Roman" w:hAnsi="Times New Roman" w:cs="Times New Roman"/>
          <w:b/>
          <w:sz w:val="24"/>
          <w:szCs w:val="24"/>
        </w:rPr>
        <w:t>I</w:t>
      </w:r>
      <w:r w:rsidRPr="009F1172">
        <w:rPr>
          <w:rFonts w:ascii="Times New Roman" w:hAnsi="Times New Roman" w:cs="Times New Roman"/>
          <w:b/>
          <w:sz w:val="24"/>
          <w:szCs w:val="24"/>
        </w:rPr>
        <w:t>I. Promote Systemic Interoperability</w:t>
      </w:r>
    </w:p>
    <w:p w:rsidR="00EE45F2" w:rsidRPr="009F1172" w:rsidRDefault="00EE45F2" w:rsidP="00EE45F2">
      <w:pPr>
        <w:spacing w:after="0" w:line="240" w:lineRule="auto"/>
        <w:rPr>
          <w:rFonts w:ascii="Times New Roman" w:hAnsi="Times New Roman" w:cs="Times New Roman"/>
          <w:sz w:val="24"/>
          <w:szCs w:val="24"/>
        </w:rPr>
      </w:pPr>
    </w:p>
    <w:p w:rsidR="003D6602" w:rsidRPr="009F1172" w:rsidRDefault="00DD1F6B" w:rsidP="006A2B57">
      <w:pPr>
        <w:tabs>
          <w:tab w:val="num" w:pos="720"/>
        </w:tabs>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P</w:t>
      </w:r>
      <w:r w:rsidR="00EE0AB2" w:rsidRPr="009F1172">
        <w:rPr>
          <w:rFonts w:ascii="Times New Roman" w:hAnsi="Times New Roman" w:cs="Times New Roman"/>
          <w:sz w:val="24"/>
          <w:szCs w:val="24"/>
        </w:rPr>
        <w:t>romot</w:t>
      </w:r>
      <w:r w:rsidRPr="009F1172">
        <w:rPr>
          <w:rFonts w:ascii="Times New Roman" w:hAnsi="Times New Roman" w:cs="Times New Roman"/>
          <w:sz w:val="24"/>
          <w:szCs w:val="24"/>
        </w:rPr>
        <w:t>ing</w:t>
      </w:r>
      <w:r w:rsidR="00EE0AB2" w:rsidRPr="009F1172">
        <w:rPr>
          <w:rFonts w:ascii="Times New Roman" w:hAnsi="Times New Roman" w:cs="Times New Roman"/>
          <w:sz w:val="24"/>
          <w:szCs w:val="24"/>
        </w:rPr>
        <w:t xml:space="preserve"> a longitudinal EHR for each patient </w:t>
      </w:r>
      <w:r w:rsidR="003251A6" w:rsidRPr="009F1172">
        <w:rPr>
          <w:rFonts w:ascii="Times New Roman" w:hAnsi="Times New Roman" w:cs="Times New Roman"/>
          <w:sz w:val="24"/>
          <w:szCs w:val="24"/>
        </w:rPr>
        <w:t xml:space="preserve">– enabled </w:t>
      </w:r>
      <w:r w:rsidR="00EE0AB2" w:rsidRPr="009F1172">
        <w:rPr>
          <w:rFonts w:ascii="Times New Roman" w:hAnsi="Times New Roman" w:cs="Times New Roman"/>
          <w:sz w:val="24"/>
          <w:szCs w:val="24"/>
        </w:rPr>
        <w:t>by a networked information model for sharing and querying of data residing in multiple locations</w:t>
      </w:r>
      <w:r w:rsidRPr="009F1172">
        <w:rPr>
          <w:rFonts w:ascii="Times New Roman" w:hAnsi="Times New Roman" w:cs="Times New Roman"/>
          <w:sz w:val="24"/>
          <w:szCs w:val="24"/>
        </w:rPr>
        <w:t xml:space="preserve"> </w:t>
      </w:r>
      <w:r w:rsidR="003251A6" w:rsidRPr="009F1172">
        <w:rPr>
          <w:rFonts w:ascii="Times New Roman" w:hAnsi="Times New Roman" w:cs="Times New Roman"/>
          <w:sz w:val="24"/>
          <w:szCs w:val="24"/>
        </w:rPr>
        <w:t xml:space="preserve">– is </w:t>
      </w:r>
      <w:r w:rsidRPr="009F1172">
        <w:rPr>
          <w:rFonts w:ascii="Times New Roman" w:hAnsi="Times New Roman" w:cs="Times New Roman"/>
          <w:sz w:val="24"/>
          <w:szCs w:val="24"/>
        </w:rPr>
        <w:t xml:space="preserve">a critical component </w:t>
      </w:r>
      <w:r w:rsidR="003251A6" w:rsidRPr="009F1172">
        <w:rPr>
          <w:rFonts w:ascii="Times New Roman" w:hAnsi="Times New Roman" w:cs="Times New Roman"/>
          <w:sz w:val="24"/>
          <w:szCs w:val="24"/>
        </w:rPr>
        <w:t xml:space="preserve">of the effort to </w:t>
      </w:r>
      <w:r w:rsidRPr="009F1172">
        <w:rPr>
          <w:rFonts w:ascii="Times New Roman" w:hAnsi="Times New Roman" w:cs="Times New Roman"/>
          <w:sz w:val="24"/>
          <w:szCs w:val="24"/>
        </w:rPr>
        <w:t>lower costs and promot</w:t>
      </w:r>
      <w:r w:rsidR="003251A6" w:rsidRPr="009F1172">
        <w:rPr>
          <w:rFonts w:ascii="Times New Roman" w:hAnsi="Times New Roman" w:cs="Times New Roman"/>
          <w:sz w:val="24"/>
          <w:szCs w:val="24"/>
        </w:rPr>
        <w:t>e</w:t>
      </w:r>
      <w:r w:rsidRPr="009F1172">
        <w:rPr>
          <w:rFonts w:ascii="Times New Roman" w:hAnsi="Times New Roman" w:cs="Times New Roman"/>
          <w:sz w:val="24"/>
          <w:szCs w:val="24"/>
        </w:rPr>
        <w:t xml:space="preserve"> better patient outcomes</w:t>
      </w:r>
      <w:r w:rsidR="00EE0AB2" w:rsidRPr="009F1172">
        <w:rPr>
          <w:rFonts w:ascii="Times New Roman" w:hAnsi="Times New Roman" w:cs="Times New Roman"/>
          <w:sz w:val="24"/>
          <w:szCs w:val="24"/>
        </w:rPr>
        <w:t xml:space="preserve">.   </w:t>
      </w:r>
    </w:p>
    <w:p w:rsidR="003D6602" w:rsidRPr="009F1172" w:rsidRDefault="003D6602" w:rsidP="00364A77">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 </w:t>
      </w:r>
    </w:p>
    <w:p w:rsidR="0032760B" w:rsidRPr="009F1172" w:rsidRDefault="005343CA" w:rsidP="00364A77">
      <w:pPr>
        <w:spacing w:after="0" w:line="240" w:lineRule="auto"/>
        <w:rPr>
          <w:rFonts w:ascii="Times New Roman" w:hAnsi="Times New Roman" w:cs="Times New Roman"/>
          <w:i/>
          <w:sz w:val="24"/>
          <w:szCs w:val="24"/>
        </w:rPr>
      </w:pPr>
      <w:r w:rsidRPr="009F1172">
        <w:rPr>
          <w:rFonts w:ascii="Times New Roman" w:hAnsi="Times New Roman" w:cs="Times New Roman"/>
          <w:i/>
          <w:sz w:val="24"/>
          <w:szCs w:val="24"/>
        </w:rPr>
        <w:t>Summary-of-</w:t>
      </w:r>
      <w:r w:rsidR="0032760B" w:rsidRPr="009F1172">
        <w:rPr>
          <w:rFonts w:ascii="Times New Roman" w:hAnsi="Times New Roman" w:cs="Times New Roman"/>
          <w:i/>
          <w:sz w:val="24"/>
          <w:szCs w:val="24"/>
        </w:rPr>
        <w:t>Care Record</w:t>
      </w:r>
    </w:p>
    <w:p w:rsidR="0032760B" w:rsidRPr="009F1172" w:rsidRDefault="0032760B" w:rsidP="00364A77">
      <w:pPr>
        <w:spacing w:after="0" w:line="240" w:lineRule="auto"/>
        <w:rPr>
          <w:rFonts w:ascii="Times New Roman" w:hAnsi="Times New Roman" w:cs="Times New Roman"/>
          <w:sz w:val="24"/>
          <w:szCs w:val="24"/>
        </w:rPr>
      </w:pPr>
    </w:p>
    <w:p w:rsidR="00854239" w:rsidRPr="009F1172" w:rsidRDefault="00364A77" w:rsidP="00D86F83">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The NPRM requires a </w:t>
      </w:r>
      <w:r w:rsidR="006A2B57" w:rsidRPr="009F1172">
        <w:rPr>
          <w:rFonts w:ascii="Times New Roman" w:hAnsi="Times New Roman" w:cs="Times New Roman"/>
          <w:sz w:val="24"/>
          <w:szCs w:val="24"/>
        </w:rPr>
        <w:t xml:space="preserve">patient’s </w:t>
      </w:r>
      <w:r w:rsidRPr="009F1172">
        <w:rPr>
          <w:rFonts w:ascii="Times New Roman" w:hAnsi="Times New Roman" w:cs="Times New Roman"/>
          <w:sz w:val="24"/>
          <w:szCs w:val="24"/>
        </w:rPr>
        <w:t>summary of care record be provided for more than 65 percent of transitions of care and referrals</w:t>
      </w:r>
      <w:r w:rsidR="006A2B57" w:rsidRPr="009F1172">
        <w:rPr>
          <w:rFonts w:ascii="Times New Roman" w:hAnsi="Times New Roman" w:cs="Times New Roman"/>
          <w:sz w:val="24"/>
          <w:szCs w:val="24"/>
        </w:rPr>
        <w:t xml:space="preserve">, but </w:t>
      </w:r>
      <w:r w:rsidR="003251A6" w:rsidRPr="009F1172">
        <w:rPr>
          <w:rFonts w:ascii="Times New Roman" w:hAnsi="Times New Roman" w:cs="Times New Roman"/>
          <w:sz w:val="24"/>
          <w:szCs w:val="24"/>
        </w:rPr>
        <w:t xml:space="preserve">it </w:t>
      </w:r>
      <w:r w:rsidR="006A2B57" w:rsidRPr="009F1172">
        <w:rPr>
          <w:rFonts w:ascii="Times New Roman" w:hAnsi="Times New Roman" w:cs="Times New Roman"/>
          <w:sz w:val="24"/>
          <w:szCs w:val="24"/>
        </w:rPr>
        <w:t xml:space="preserve">does not require the record to be provided electronically.  The NPRM also requires an </w:t>
      </w:r>
      <w:r w:rsidR="00D86F83" w:rsidRPr="009F1172">
        <w:rPr>
          <w:rFonts w:ascii="Times New Roman" w:hAnsi="Times New Roman" w:cs="Times New Roman"/>
          <w:sz w:val="24"/>
          <w:szCs w:val="24"/>
        </w:rPr>
        <w:t>electronic transmi</w:t>
      </w:r>
      <w:r w:rsidR="006A2B57" w:rsidRPr="009F1172">
        <w:rPr>
          <w:rFonts w:ascii="Times New Roman" w:hAnsi="Times New Roman" w:cs="Times New Roman"/>
          <w:sz w:val="24"/>
          <w:szCs w:val="24"/>
        </w:rPr>
        <w:t xml:space="preserve">ssion of the </w:t>
      </w:r>
      <w:r w:rsidR="005343CA" w:rsidRPr="009F1172">
        <w:rPr>
          <w:rFonts w:ascii="Times New Roman" w:hAnsi="Times New Roman" w:cs="Times New Roman"/>
          <w:sz w:val="24"/>
          <w:szCs w:val="24"/>
        </w:rPr>
        <w:t>summary-of-</w:t>
      </w:r>
      <w:r w:rsidR="00D86F83" w:rsidRPr="009F1172">
        <w:rPr>
          <w:rFonts w:ascii="Times New Roman" w:hAnsi="Times New Roman" w:cs="Times New Roman"/>
          <w:sz w:val="24"/>
          <w:szCs w:val="24"/>
        </w:rPr>
        <w:t xml:space="preserve">care record for </w:t>
      </w:r>
      <w:r w:rsidRPr="009F1172">
        <w:rPr>
          <w:rFonts w:ascii="Times New Roman" w:hAnsi="Times New Roman" w:cs="Times New Roman"/>
          <w:sz w:val="24"/>
          <w:szCs w:val="24"/>
        </w:rPr>
        <w:t xml:space="preserve">more than 10 percent of transitions </w:t>
      </w:r>
      <w:r w:rsidR="00D86F83" w:rsidRPr="009F1172">
        <w:rPr>
          <w:rFonts w:ascii="Times New Roman" w:hAnsi="Times New Roman" w:cs="Times New Roman"/>
          <w:sz w:val="24"/>
          <w:szCs w:val="24"/>
        </w:rPr>
        <w:t xml:space="preserve">of care or referrals </w:t>
      </w:r>
      <w:r w:rsidR="003251A6" w:rsidRPr="009F1172">
        <w:rPr>
          <w:rFonts w:ascii="Times New Roman" w:hAnsi="Times New Roman" w:cs="Times New Roman"/>
          <w:sz w:val="24"/>
          <w:szCs w:val="24"/>
        </w:rPr>
        <w:t>to legally-distinct</w:t>
      </w:r>
      <w:r w:rsidRPr="009F1172">
        <w:rPr>
          <w:rFonts w:ascii="Times New Roman" w:hAnsi="Times New Roman" w:cs="Times New Roman"/>
          <w:sz w:val="24"/>
          <w:szCs w:val="24"/>
        </w:rPr>
        <w:t xml:space="preserve"> organizations </w:t>
      </w:r>
      <w:r w:rsidR="003251A6" w:rsidRPr="009F1172">
        <w:rPr>
          <w:rFonts w:ascii="Times New Roman" w:hAnsi="Times New Roman" w:cs="Times New Roman"/>
          <w:sz w:val="24"/>
          <w:szCs w:val="24"/>
        </w:rPr>
        <w:t xml:space="preserve">using an EHR from </w:t>
      </w:r>
      <w:r w:rsidRPr="009F1172">
        <w:rPr>
          <w:rFonts w:ascii="Times New Roman" w:hAnsi="Times New Roman" w:cs="Times New Roman"/>
          <w:sz w:val="24"/>
          <w:szCs w:val="24"/>
        </w:rPr>
        <w:t>a different vendor.</w:t>
      </w:r>
      <w:r w:rsidR="00D86F83" w:rsidRPr="009F1172">
        <w:rPr>
          <w:rFonts w:ascii="Times New Roman" w:hAnsi="Times New Roman" w:cs="Times New Roman"/>
          <w:sz w:val="24"/>
          <w:szCs w:val="24"/>
        </w:rPr>
        <w:t xml:space="preserve">  </w:t>
      </w:r>
      <w:r w:rsidR="007F0990" w:rsidRPr="009F1172">
        <w:rPr>
          <w:rFonts w:ascii="Times New Roman" w:hAnsi="Times New Roman" w:cs="Times New Roman"/>
          <w:sz w:val="24"/>
          <w:szCs w:val="24"/>
        </w:rPr>
        <w:t>W</w:t>
      </w:r>
      <w:r w:rsidR="00854239" w:rsidRPr="009F1172">
        <w:rPr>
          <w:rFonts w:ascii="Times New Roman" w:hAnsi="Times New Roman" w:cs="Times New Roman"/>
          <w:sz w:val="24"/>
          <w:szCs w:val="24"/>
        </w:rPr>
        <w:t xml:space="preserve">e support </w:t>
      </w:r>
      <w:r w:rsidR="006A2B57" w:rsidRPr="009F1172">
        <w:rPr>
          <w:rFonts w:ascii="Times New Roman" w:hAnsi="Times New Roman" w:cs="Times New Roman"/>
          <w:sz w:val="24"/>
          <w:szCs w:val="24"/>
        </w:rPr>
        <w:t xml:space="preserve">these requirements as a bare minimum to </w:t>
      </w:r>
      <w:r w:rsidR="007F0990" w:rsidRPr="009F1172">
        <w:rPr>
          <w:rFonts w:ascii="Times New Roman" w:hAnsi="Times New Roman" w:cs="Times New Roman"/>
          <w:sz w:val="24"/>
          <w:szCs w:val="24"/>
        </w:rPr>
        <w:t xml:space="preserve">promote </w:t>
      </w:r>
      <w:r w:rsidR="006A2B57" w:rsidRPr="009F1172">
        <w:rPr>
          <w:rFonts w:ascii="Times New Roman" w:hAnsi="Times New Roman" w:cs="Times New Roman"/>
          <w:sz w:val="24"/>
          <w:szCs w:val="24"/>
        </w:rPr>
        <w:t>care coordination</w:t>
      </w:r>
      <w:r w:rsidR="00854239" w:rsidRPr="009F1172">
        <w:rPr>
          <w:rFonts w:ascii="Times New Roman" w:hAnsi="Times New Roman" w:cs="Times New Roman"/>
          <w:sz w:val="24"/>
          <w:szCs w:val="24"/>
        </w:rPr>
        <w:t xml:space="preserve"> in Stage 2.   </w:t>
      </w:r>
      <w:r w:rsidR="007F0990" w:rsidRPr="009F1172">
        <w:rPr>
          <w:rFonts w:ascii="Times New Roman" w:hAnsi="Times New Roman" w:cs="Times New Roman"/>
          <w:sz w:val="24"/>
          <w:szCs w:val="24"/>
        </w:rPr>
        <w:t>In addition, t</w:t>
      </w:r>
      <w:r w:rsidR="001B490F" w:rsidRPr="009F1172">
        <w:rPr>
          <w:rFonts w:ascii="Times New Roman" w:hAnsi="Times New Roman" w:cs="Times New Roman"/>
          <w:sz w:val="24"/>
          <w:szCs w:val="24"/>
        </w:rPr>
        <w:t xml:space="preserve">he measure is </w:t>
      </w:r>
      <w:r w:rsidR="00945A8C" w:rsidRPr="009F1172">
        <w:rPr>
          <w:rFonts w:ascii="Times New Roman" w:hAnsi="Times New Roman" w:cs="Times New Roman"/>
          <w:sz w:val="24"/>
          <w:szCs w:val="24"/>
        </w:rPr>
        <w:t>imminently</w:t>
      </w:r>
      <w:r w:rsidR="001B490F" w:rsidRPr="009F1172">
        <w:rPr>
          <w:rFonts w:ascii="Times New Roman" w:hAnsi="Times New Roman" w:cs="Times New Roman"/>
          <w:sz w:val="24"/>
          <w:szCs w:val="24"/>
        </w:rPr>
        <w:t xml:space="preserve"> achievable.  In 2010, according to AHA survey data, 19 percent of hospitals were sharing patient clinical information electronically with ambulatory providers outside their system.  </w:t>
      </w:r>
    </w:p>
    <w:p w:rsidR="00364A77" w:rsidRPr="009F1172" w:rsidRDefault="00D86F83" w:rsidP="00364A77">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  </w:t>
      </w:r>
    </w:p>
    <w:p w:rsidR="00F25D4B" w:rsidRPr="009F1172" w:rsidRDefault="00F25D4B" w:rsidP="00D86F83">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We suggest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make the following refinements to the NPRM:</w:t>
      </w:r>
    </w:p>
    <w:p w:rsidR="00F25D4B" w:rsidRPr="009F1172" w:rsidRDefault="00F25D4B" w:rsidP="00364A77">
      <w:pPr>
        <w:spacing w:after="0" w:line="240" w:lineRule="auto"/>
        <w:rPr>
          <w:rFonts w:ascii="Times New Roman" w:hAnsi="Times New Roman" w:cs="Times New Roman"/>
          <w:sz w:val="24"/>
          <w:szCs w:val="24"/>
        </w:rPr>
      </w:pPr>
    </w:p>
    <w:p w:rsidR="00117A49" w:rsidRPr="009F1172" w:rsidRDefault="00117A49" w:rsidP="00117A49">
      <w:pPr>
        <w:pStyle w:val="ListParagraph"/>
        <w:numPr>
          <w:ilvl w:val="0"/>
          <w:numId w:val="10"/>
        </w:numPr>
        <w:spacing w:after="0" w:line="240" w:lineRule="auto"/>
        <w:ind w:left="1080"/>
        <w:rPr>
          <w:rFonts w:ascii="Times New Roman" w:hAnsi="Times New Roman" w:cs="Times New Roman"/>
          <w:sz w:val="24"/>
          <w:szCs w:val="24"/>
        </w:rPr>
      </w:pPr>
      <w:r w:rsidRPr="009F1172">
        <w:rPr>
          <w:rFonts w:ascii="Times New Roman" w:hAnsi="Times New Roman" w:cs="Times New Roman"/>
          <w:sz w:val="24"/>
          <w:szCs w:val="24"/>
        </w:rPr>
        <w:t xml:space="preserve">Require the summary-of-care document be sent electronically and recorded as part of the patient’s EHR.    </w:t>
      </w:r>
    </w:p>
    <w:p w:rsidR="00117A49" w:rsidRPr="009F1172" w:rsidRDefault="00117A49" w:rsidP="00117A49">
      <w:pPr>
        <w:pStyle w:val="ListParagraph"/>
        <w:spacing w:after="0" w:line="240" w:lineRule="auto"/>
        <w:ind w:left="1080"/>
        <w:rPr>
          <w:rFonts w:ascii="Times New Roman" w:hAnsi="Times New Roman" w:cs="Times New Roman"/>
          <w:sz w:val="24"/>
          <w:szCs w:val="24"/>
        </w:rPr>
      </w:pPr>
    </w:p>
    <w:p w:rsidR="00B26145" w:rsidRPr="009F1172" w:rsidRDefault="005343CA" w:rsidP="00B26145">
      <w:pPr>
        <w:pStyle w:val="ListParagraph"/>
        <w:numPr>
          <w:ilvl w:val="0"/>
          <w:numId w:val="10"/>
        </w:numPr>
        <w:spacing w:after="0" w:line="240" w:lineRule="auto"/>
        <w:ind w:left="1080"/>
        <w:rPr>
          <w:rFonts w:ascii="Times New Roman" w:hAnsi="Times New Roman" w:cs="Times New Roman"/>
          <w:sz w:val="24"/>
          <w:szCs w:val="24"/>
        </w:rPr>
      </w:pPr>
      <w:r w:rsidRPr="009F1172">
        <w:rPr>
          <w:rFonts w:ascii="Times New Roman" w:hAnsi="Times New Roman" w:cs="Times New Roman"/>
          <w:sz w:val="24"/>
          <w:szCs w:val="24"/>
        </w:rPr>
        <w:t>Ensure the summary-of-</w:t>
      </w:r>
      <w:r w:rsidR="0032760B" w:rsidRPr="009F1172">
        <w:rPr>
          <w:rFonts w:ascii="Times New Roman" w:hAnsi="Times New Roman" w:cs="Times New Roman"/>
          <w:sz w:val="24"/>
          <w:szCs w:val="24"/>
        </w:rPr>
        <w:t>care document is generated automatically for all summaries.  We support moving th</w:t>
      </w:r>
      <w:r w:rsidR="007F0990" w:rsidRPr="009F1172">
        <w:rPr>
          <w:rFonts w:ascii="Times New Roman" w:hAnsi="Times New Roman" w:cs="Times New Roman"/>
          <w:sz w:val="24"/>
          <w:szCs w:val="24"/>
        </w:rPr>
        <w:t>e</w:t>
      </w:r>
      <w:r w:rsidR="0032760B" w:rsidRPr="009F1172">
        <w:rPr>
          <w:rFonts w:ascii="Times New Roman" w:hAnsi="Times New Roman" w:cs="Times New Roman"/>
          <w:sz w:val="24"/>
          <w:szCs w:val="24"/>
        </w:rPr>
        <w:t xml:space="preserve"> requirement </w:t>
      </w:r>
      <w:r w:rsidR="007F0990" w:rsidRPr="009F1172">
        <w:rPr>
          <w:rFonts w:ascii="Times New Roman" w:hAnsi="Times New Roman" w:cs="Times New Roman"/>
          <w:sz w:val="24"/>
          <w:szCs w:val="24"/>
        </w:rPr>
        <w:t xml:space="preserve">from 65 percent </w:t>
      </w:r>
      <w:r w:rsidR="0032760B" w:rsidRPr="009F1172">
        <w:rPr>
          <w:rFonts w:ascii="Times New Roman" w:hAnsi="Times New Roman" w:cs="Times New Roman"/>
          <w:sz w:val="24"/>
          <w:szCs w:val="24"/>
        </w:rPr>
        <w:t xml:space="preserve">to 80 percent.  </w:t>
      </w:r>
    </w:p>
    <w:p w:rsidR="00B26145" w:rsidRPr="009F1172" w:rsidRDefault="00B26145" w:rsidP="00B26145">
      <w:pPr>
        <w:pStyle w:val="ListParagraph"/>
        <w:rPr>
          <w:rFonts w:ascii="Times New Roman" w:hAnsi="Times New Roman" w:cs="Times New Roman"/>
          <w:sz w:val="24"/>
          <w:szCs w:val="24"/>
        </w:rPr>
      </w:pPr>
    </w:p>
    <w:p w:rsidR="00F25D4B" w:rsidRPr="009F1172" w:rsidRDefault="00863783" w:rsidP="00B26145">
      <w:pPr>
        <w:pStyle w:val="ListParagraph"/>
        <w:numPr>
          <w:ilvl w:val="0"/>
          <w:numId w:val="10"/>
        </w:numPr>
        <w:spacing w:after="0" w:line="240" w:lineRule="auto"/>
        <w:ind w:left="1080"/>
        <w:rPr>
          <w:rFonts w:ascii="Times New Roman" w:hAnsi="Times New Roman" w:cs="Times New Roman"/>
          <w:sz w:val="24"/>
          <w:szCs w:val="24"/>
        </w:rPr>
      </w:pPr>
      <w:r w:rsidRPr="009F1172">
        <w:rPr>
          <w:rFonts w:ascii="Times New Roman" w:hAnsi="Times New Roman" w:cs="Times New Roman"/>
          <w:sz w:val="24"/>
          <w:szCs w:val="24"/>
        </w:rPr>
        <w:t>Retain or e</w:t>
      </w:r>
      <w:r w:rsidR="00977C12" w:rsidRPr="009F1172">
        <w:rPr>
          <w:rFonts w:ascii="Times New Roman" w:hAnsi="Times New Roman" w:cs="Times New Roman"/>
          <w:sz w:val="24"/>
          <w:szCs w:val="24"/>
        </w:rPr>
        <w:t xml:space="preserve">xpand </w:t>
      </w:r>
      <w:r w:rsidR="009E3DEE" w:rsidRPr="009F1172">
        <w:rPr>
          <w:rFonts w:ascii="Times New Roman" w:hAnsi="Times New Roman" w:cs="Times New Roman"/>
          <w:sz w:val="24"/>
          <w:szCs w:val="24"/>
        </w:rPr>
        <w:t>the 10 percent requirement</w:t>
      </w:r>
      <w:r w:rsidRPr="009F1172">
        <w:rPr>
          <w:rFonts w:ascii="Times New Roman" w:hAnsi="Times New Roman" w:cs="Times New Roman"/>
          <w:sz w:val="24"/>
          <w:szCs w:val="24"/>
        </w:rPr>
        <w:t>.  This is the only electronic exchange required across unaffiliated providers in 2014.</w:t>
      </w:r>
      <w:r w:rsidRPr="009F1172" w:rsidDel="00863783">
        <w:rPr>
          <w:rFonts w:ascii="Times New Roman" w:hAnsi="Times New Roman" w:cs="Times New Roman"/>
          <w:sz w:val="24"/>
          <w:szCs w:val="24"/>
        </w:rPr>
        <w:t xml:space="preserve"> </w:t>
      </w:r>
      <w:r w:rsidRPr="009F1172">
        <w:rPr>
          <w:rFonts w:ascii="Times New Roman" w:hAnsi="Times New Roman" w:cs="Times New Roman"/>
          <w:sz w:val="24"/>
          <w:szCs w:val="24"/>
        </w:rPr>
        <w:t xml:space="preserve">  Half of all providers may be meaningful users in 2014 and it is reasonable to expect electronic exchange between those participating in the program.  </w:t>
      </w:r>
    </w:p>
    <w:p w:rsidR="00B26145" w:rsidRPr="009F1172" w:rsidRDefault="00B26145" w:rsidP="00B26145">
      <w:pPr>
        <w:pStyle w:val="ListParagraph"/>
        <w:spacing w:after="0" w:line="240" w:lineRule="auto"/>
        <w:ind w:left="1080"/>
        <w:rPr>
          <w:rFonts w:ascii="Times New Roman" w:hAnsi="Times New Roman" w:cs="Times New Roman"/>
          <w:sz w:val="24"/>
          <w:szCs w:val="24"/>
        </w:rPr>
      </w:pPr>
    </w:p>
    <w:p w:rsidR="008D0D57" w:rsidRPr="009F1172" w:rsidRDefault="0041241F" w:rsidP="005343CA">
      <w:pPr>
        <w:pStyle w:val="ListParagraph"/>
        <w:numPr>
          <w:ilvl w:val="0"/>
          <w:numId w:val="10"/>
        </w:numPr>
        <w:spacing w:after="0" w:line="240" w:lineRule="auto"/>
        <w:ind w:left="1080"/>
        <w:rPr>
          <w:rFonts w:ascii="Times New Roman" w:hAnsi="Times New Roman" w:cs="Times New Roman"/>
          <w:sz w:val="24"/>
          <w:szCs w:val="24"/>
        </w:rPr>
      </w:pPr>
      <w:r w:rsidRPr="009F1172">
        <w:rPr>
          <w:rFonts w:ascii="Times New Roman" w:hAnsi="Times New Roman" w:cs="Times New Roman"/>
          <w:sz w:val="24"/>
          <w:szCs w:val="24"/>
        </w:rPr>
        <w:t>R</w:t>
      </w:r>
      <w:r w:rsidR="007B6D8D" w:rsidRPr="009F1172">
        <w:rPr>
          <w:rFonts w:ascii="Times New Roman" w:hAnsi="Times New Roman" w:cs="Times New Roman"/>
          <w:sz w:val="24"/>
          <w:szCs w:val="24"/>
        </w:rPr>
        <w:t>equire</w:t>
      </w:r>
      <w:r w:rsidR="00F25D4B" w:rsidRPr="009F1172">
        <w:rPr>
          <w:rFonts w:ascii="Times New Roman" w:hAnsi="Times New Roman" w:cs="Times New Roman"/>
          <w:sz w:val="24"/>
          <w:szCs w:val="24"/>
        </w:rPr>
        <w:t xml:space="preserve"> EPs and EHs to demonstrate participation in an HIE</w:t>
      </w:r>
      <w:r w:rsidR="00CE71BF" w:rsidRPr="009F1172">
        <w:rPr>
          <w:rFonts w:ascii="Times New Roman" w:hAnsi="Times New Roman" w:cs="Times New Roman"/>
          <w:sz w:val="24"/>
          <w:szCs w:val="24"/>
        </w:rPr>
        <w:t xml:space="preserve"> </w:t>
      </w:r>
      <w:r w:rsidR="00F25D4B" w:rsidRPr="009F1172">
        <w:rPr>
          <w:rFonts w:ascii="Times New Roman" w:hAnsi="Times New Roman" w:cs="Times New Roman"/>
          <w:sz w:val="24"/>
          <w:szCs w:val="24"/>
        </w:rPr>
        <w:t>as a requirement in Stage 2</w:t>
      </w:r>
      <w:r w:rsidR="00945A8C" w:rsidRPr="009F1172">
        <w:rPr>
          <w:rFonts w:ascii="Times New Roman" w:hAnsi="Times New Roman" w:cs="Times New Roman"/>
          <w:sz w:val="24"/>
          <w:szCs w:val="24"/>
        </w:rPr>
        <w:t xml:space="preserve"> through a provider participation agreement</w:t>
      </w:r>
      <w:r w:rsidR="00F25D4B" w:rsidRPr="009F1172">
        <w:rPr>
          <w:rFonts w:ascii="Times New Roman" w:hAnsi="Times New Roman" w:cs="Times New Roman"/>
          <w:sz w:val="24"/>
          <w:szCs w:val="24"/>
        </w:rPr>
        <w:t xml:space="preserve">.  </w:t>
      </w:r>
      <w:r w:rsidR="00934C8C" w:rsidRPr="009F1172">
        <w:rPr>
          <w:rFonts w:ascii="Times New Roman" w:hAnsi="Times New Roman" w:cs="Times New Roman"/>
          <w:sz w:val="24"/>
          <w:szCs w:val="24"/>
        </w:rPr>
        <w:t xml:space="preserve">The </w:t>
      </w:r>
      <w:r w:rsidR="00F13C23" w:rsidRPr="009F1172">
        <w:rPr>
          <w:rFonts w:ascii="Times New Roman" w:hAnsi="Times New Roman" w:cs="Times New Roman"/>
          <w:sz w:val="24"/>
          <w:szCs w:val="24"/>
        </w:rPr>
        <w:t xml:space="preserve">Stage 2 exchange requirement </w:t>
      </w:r>
      <w:r w:rsidR="00FC2398" w:rsidRPr="009F1172">
        <w:rPr>
          <w:rFonts w:ascii="Times New Roman" w:hAnsi="Times New Roman" w:cs="Times New Roman"/>
          <w:sz w:val="24"/>
          <w:szCs w:val="24"/>
        </w:rPr>
        <w:t xml:space="preserve">should </w:t>
      </w:r>
      <w:r w:rsidR="00934C8C" w:rsidRPr="009F1172">
        <w:rPr>
          <w:rFonts w:ascii="Times New Roman" w:hAnsi="Times New Roman" w:cs="Times New Roman"/>
          <w:sz w:val="24"/>
          <w:szCs w:val="24"/>
        </w:rPr>
        <w:t xml:space="preserve">recognize exchanges through an </w:t>
      </w:r>
      <w:r w:rsidR="00E87D4C" w:rsidRPr="009F1172">
        <w:rPr>
          <w:rFonts w:ascii="Times New Roman" w:hAnsi="Times New Roman" w:cs="Times New Roman"/>
          <w:sz w:val="24"/>
          <w:szCs w:val="24"/>
        </w:rPr>
        <w:t>HIE</w:t>
      </w:r>
      <w:r w:rsidR="007B6D8D" w:rsidRPr="009F1172">
        <w:rPr>
          <w:rFonts w:ascii="Times New Roman" w:hAnsi="Times New Roman" w:cs="Times New Roman"/>
          <w:sz w:val="24"/>
          <w:szCs w:val="24"/>
        </w:rPr>
        <w:t>,</w:t>
      </w:r>
      <w:r w:rsidR="00E87D4C" w:rsidRPr="009F1172">
        <w:rPr>
          <w:rFonts w:ascii="Times New Roman" w:hAnsi="Times New Roman" w:cs="Times New Roman"/>
          <w:sz w:val="24"/>
          <w:szCs w:val="24"/>
        </w:rPr>
        <w:t xml:space="preserve"> </w:t>
      </w:r>
      <w:r w:rsidR="007B6D8D" w:rsidRPr="009F1172">
        <w:rPr>
          <w:rFonts w:ascii="Times New Roman" w:hAnsi="Times New Roman" w:cs="Times New Roman"/>
          <w:sz w:val="24"/>
          <w:szCs w:val="24"/>
        </w:rPr>
        <w:t>rather than</w:t>
      </w:r>
      <w:r w:rsidR="00E87D4C" w:rsidRPr="009F1172">
        <w:rPr>
          <w:rFonts w:ascii="Times New Roman" w:hAnsi="Times New Roman" w:cs="Times New Roman"/>
          <w:sz w:val="24"/>
          <w:szCs w:val="24"/>
        </w:rPr>
        <w:t xml:space="preserve"> </w:t>
      </w:r>
      <w:r w:rsidR="00934C8C" w:rsidRPr="009F1172">
        <w:rPr>
          <w:rFonts w:ascii="Times New Roman" w:hAnsi="Times New Roman" w:cs="Times New Roman"/>
          <w:sz w:val="24"/>
          <w:szCs w:val="24"/>
        </w:rPr>
        <w:t xml:space="preserve">exclusively </w:t>
      </w:r>
      <w:r w:rsidR="00E87D4C" w:rsidRPr="009F1172">
        <w:rPr>
          <w:rFonts w:ascii="Times New Roman" w:hAnsi="Times New Roman" w:cs="Times New Roman"/>
          <w:sz w:val="24"/>
          <w:szCs w:val="24"/>
        </w:rPr>
        <w:t xml:space="preserve">through the Direct </w:t>
      </w:r>
      <w:r w:rsidR="00F13C23" w:rsidRPr="009F1172">
        <w:rPr>
          <w:rFonts w:ascii="Times New Roman" w:hAnsi="Times New Roman" w:cs="Times New Roman"/>
          <w:sz w:val="24"/>
          <w:szCs w:val="24"/>
        </w:rPr>
        <w:t xml:space="preserve">protocol.  This </w:t>
      </w:r>
      <w:r w:rsidR="007B6D8D" w:rsidRPr="009F1172">
        <w:rPr>
          <w:rFonts w:ascii="Times New Roman" w:hAnsi="Times New Roman" w:cs="Times New Roman"/>
          <w:sz w:val="24"/>
          <w:szCs w:val="24"/>
        </w:rPr>
        <w:t xml:space="preserve">approach </w:t>
      </w:r>
      <w:r w:rsidR="00F13C23" w:rsidRPr="009F1172">
        <w:rPr>
          <w:rFonts w:ascii="Times New Roman" w:hAnsi="Times New Roman" w:cs="Times New Roman"/>
          <w:sz w:val="24"/>
          <w:szCs w:val="24"/>
        </w:rPr>
        <w:t xml:space="preserve">would reduce burdens on providers who are required under the rule to develop a separate </w:t>
      </w:r>
      <w:r w:rsidR="00945A8C" w:rsidRPr="009F1172">
        <w:rPr>
          <w:rFonts w:ascii="Times New Roman" w:hAnsi="Times New Roman" w:cs="Times New Roman"/>
          <w:sz w:val="24"/>
          <w:szCs w:val="24"/>
        </w:rPr>
        <w:t xml:space="preserve">operating </w:t>
      </w:r>
      <w:r w:rsidR="00F13C23" w:rsidRPr="009F1172">
        <w:rPr>
          <w:rFonts w:ascii="Times New Roman" w:hAnsi="Times New Roman" w:cs="Times New Roman"/>
          <w:sz w:val="24"/>
          <w:szCs w:val="24"/>
        </w:rPr>
        <w:t xml:space="preserve">platform </w:t>
      </w:r>
      <w:r w:rsidR="00945A8C" w:rsidRPr="009F1172">
        <w:rPr>
          <w:rFonts w:ascii="Times New Roman" w:hAnsi="Times New Roman" w:cs="Times New Roman"/>
          <w:sz w:val="24"/>
          <w:szCs w:val="24"/>
        </w:rPr>
        <w:t xml:space="preserve">to enable Direct exchange.  </w:t>
      </w:r>
    </w:p>
    <w:p w:rsidR="008D0D57" w:rsidRPr="009F1172" w:rsidRDefault="008D0D57" w:rsidP="008D0D57">
      <w:pPr>
        <w:pStyle w:val="ListParagraph"/>
        <w:spacing w:after="0" w:line="240" w:lineRule="auto"/>
        <w:ind w:left="1080"/>
        <w:rPr>
          <w:rFonts w:ascii="Times New Roman" w:hAnsi="Times New Roman" w:cs="Times New Roman"/>
          <w:sz w:val="24"/>
          <w:szCs w:val="24"/>
        </w:rPr>
      </w:pPr>
    </w:p>
    <w:p w:rsidR="00F25D4B" w:rsidRPr="009F1172" w:rsidRDefault="00934C8C" w:rsidP="005343CA">
      <w:pPr>
        <w:pStyle w:val="ListParagraph"/>
        <w:numPr>
          <w:ilvl w:val="0"/>
          <w:numId w:val="10"/>
        </w:numPr>
        <w:spacing w:after="0" w:line="240" w:lineRule="auto"/>
        <w:ind w:left="1080"/>
        <w:rPr>
          <w:rFonts w:ascii="Times New Roman" w:hAnsi="Times New Roman" w:cs="Times New Roman"/>
          <w:sz w:val="24"/>
          <w:szCs w:val="24"/>
        </w:rPr>
      </w:pPr>
      <w:r w:rsidRPr="009F1172">
        <w:rPr>
          <w:rFonts w:ascii="Times New Roman" w:hAnsi="Times New Roman" w:cs="Times New Roman"/>
          <w:sz w:val="24"/>
          <w:szCs w:val="24"/>
        </w:rPr>
        <w:t>All participants in the health continuum, including pharmacists, labs, pathologists, mental health providers</w:t>
      </w:r>
      <w:r w:rsidR="00C4785D" w:rsidRPr="009F1172">
        <w:rPr>
          <w:rFonts w:ascii="Times New Roman" w:hAnsi="Times New Roman" w:cs="Times New Roman"/>
          <w:sz w:val="24"/>
          <w:szCs w:val="24"/>
        </w:rPr>
        <w:t>, payers</w:t>
      </w:r>
      <w:r w:rsidRPr="009F1172">
        <w:rPr>
          <w:rFonts w:ascii="Times New Roman" w:hAnsi="Times New Roman" w:cs="Times New Roman"/>
          <w:sz w:val="24"/>
          <w:szCs w:val="24"/>
        </w:rPr>
        <w:t xml:space="preserve"> and others, should be encouraged to participate in the </w:t>
      </w:r>
      <w:r w:rsidRPr="009F1172">
        <w:rPr>
          <w:rFonts w:ascii="Times New Roman" w:hAnsi="Times New Roman" w:cs="Times New Roman"/>
          <w:sz w:val="24"/>
          <w:szCs w:val="24"/>
        </w:rPr>
        <w:lastRenderedPageBreak/>
        <w:t xml:space="preserve">HIE to provide a more complete view of a patient’s history.  </w:t>
      </w:r>
      <w:r w:rsidR="00C4785D" w:rsidRPr="009F1172">
        <w:rPr>
          <w:rFonts w:ascii="Times New Roman" w:hAnsi="Times New Roman" w:cs="Times New Roman"/>
          <w:sz w:val="24"/>
          <w:szCs w:val="24"/>
        </w:rPr>
        <w:t xml:space="preserve">These entities supply significant amounts of critical health information, yet many are excluded from the program.  </w:t>
      </w:r>
      <w:r w:rsidR="0041241F" w:rsidRPr="009F1172">
        <w:rPr>
          <w:rFonts w:ascii="Times New Roman" w:hAnsi="Times New Roman" w:cs="Times New Roman"/>
          <w:sz w:val="24"/>
          <w:szCs w:val="24"/>
        </w:rPr>
        <w:t xml:space="preserve">      </w:t>
      </w:r>
    </w:p>
    <w:p w:rsidR="009E3DEE" w:rsidRPr="009F1172" w:rsidRDefault="003D6602" w:rsidP="00364A77">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 </w:t>
      </w:r>
    </w:p>
    <w:p w:rsidR="003D6602" w:rsidRPr="009F1172" w:rsidRDefault="00945A8C" w:rsidP="00364A77">
      <w:pPr>
        <w:spacing w:after="0" w:line="240" w:lineRule="auto"/>
        <w:rPr>
          <w:rFonts w:ascii="Times New Roman" w:hAnsi="Times New Roman" w:cs="Times New Roman"/>
          <w:i/>
          <w:sz w:val="24"/>
          <w:szCs w:val="24"/>
        </w:rPr>
      </w:pPr>
      <w:r w:rsidRPr="009F1172">
        <w:rPr>
          <w:rFonts w:ascii="Times New Roman" w:hAnsi="Times New Roman" w:cs="Times New Roman"/>
          <w:i/>
          <w:sz w:val="24"/>
          <w:szCs w:val="24"/>
        </w:rPr>
        <w:t xml:space="preserve">Transport </w:t>
      </w:r>
      <w:r w:rsidR="0032760B" w:rsidRPr="009F1172">
        <w:rPr>
          <w:rFonts w:ascii="Times New Roman" w:hAnsi="Times New Roman" w:cs="Times New Roman"/>
          <w:i/>
          <w:sz w:val="24"/>
          <w:szCs w:val="24"/>
        </w:rPr>
        <w:t>Standards Related to Summary of Care Record</w:t>
      </w:r>
    </w:p>
    <w:p w:rsidR="0032760B" w:rsidRPr="009F1172" w:rsidRDefault="0032760B" w:rsidP="00364A77">
      <w:pPr>
        <w:spacing w:after="0" w:line="240" w:lineRule="auto"/>
        <w:rPr>
          <w:rFonts w:ascii="Times New Roman" w:hAnsi="Times New Roman" w:cs="Times New Roman"/>
          <w:i/>
          <w:sz w:val="24"/>
          <w:szCs w:val="24"/>
        </w:rPr>
      </w:pPr>
    </w:p>
    <w:p w:rsidR="000E00CE" w:rsidRPr="009F1172" w:rsidRDefault="0032760B" w:rsidP="000E00CE">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As part of the NPRM,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is proposing to limit the numerator for the second measure (the 10 percent requirement) to only count electronic transmission</w:t>
      </w:r>
      <w:r w:rsidR="00945A8C" w:rsidRPr="009F1172">
        <w:rPr>
          <w:rFonts w:ascii="Times New Roman" w:hAnsi="Times New Roman" w:cs="Times New Roman"/>
          <w:sz w:val="24"/>
          <w:szCs w:val="24"/>
        </w:rPr>
        <w:t>s</w:t>
      </w:r>
      <w:r w:rsidRPr="009F1172">
        <w:rPr>
          <w:rFonts w:ascii="Times New Roman" w:hAnsi="Times New Roman" w:cs="Times New Roman"/>
          <w:sz w:val="24"/>
          <w:szCs w:val="24"/>
        </w:rPr>
        <w:t xml:space="preserve"> that conform to the standards proposed for adoption at 45 CFR 170.202 (Direct, Direct Plus and SOAP) of the ONC Standards and Certification rule.  </w:t>
      </w:r>
      <w:r w:rsidR="0014550E" w:rsidRPr="009F1172">
        <w:rPr>
          <w:rFonts w:ascii="Times New Roman" w:hAnsi="Times New Roman" w:cs="Times New Roman"/>
          <w:sz w:val="24"/>
          <w:szCs w:val="24"/>
        </w:rPr>
        <w:t>These are “push” trans</w:t>
      </w:r>
      <w:r w:rsidR="007B6D8D" w:rsidRPr="009F1172">
        <w:rPr>
          <w:rFonts w:ascii="Times New Roman" w:hAnsi="Times New Roman" w:cs="Times New Roman"/>
          <w:sz w:val="24"/>
          <w:szCs w:val="24"/>
        </w:rPr>
        <w:t>port standards that allow point-to-</w:t>
      </w:r>
      <w:r w:rsidR="0014550E" w:rsidRPr="009F1172">
        <w:rPr>
          <w:rFonts w:ascii="Times New Roman" w:hAnsi="Times New Roman" w:cs="Times New Roman"/>
          <w:sz w:val="24"/>
          <w:szCs w:val="24"/>
        </w:rPr>
        <w:t>point exchange of information</w:t>
      </w:r>
      <w:r w:rsidR="007B6D8D" w:rsidRPr="009F1172">
        <w:rPr>
          <w:rFonts w:ascii="Times New Roman" w:hAnsi="Times New Roman" w:cs="Times New Roman"/>
          <w:sz w:val="24"/>
          <w:szCs w:val="24"/>
        </w:rPr>
        <w:t>,</w:t>
      </w:r>
      <w:r w:rsidR="0014550E" w:rsidRPr="009F1172">
        <w:rPr>
          <w:rFonts w:ascii="Times New Roman" w:hAnsi="Times New Roman" w:cs="Times New Roman"/>
          <w:sz w:val="24"/>
          <w:szCs w:val="24"/>
        </w:rPr>
        <w:t xml:space="preserve"> </w:t>
      </w:r>
      <w:r w:rsidR="000E00CE" w:rsidRPr="009F1172">
        <w:rPr>
          <w:rFonts w:ascii="Times New Roman" w:hAnsi="Times New Roman" w:cs="Times New Roman"/>
          <w:sz w:val="24"/>
          <w:szCs w:val="24"/>
        </w:rPr>
        <w:t>similar</w:t>
      </w:r>
      <w:r w:rsidR="0014550E" w:rsidRPr="009F1172">
        <w:rPr>
          <w:rFonts w:ascii="Times New Roman" w:hAnsi="Times New Roman" w:cs="Times New Roman"/>
          <w:sz w:val="24"/>
          <w:szCs w:val="24"/>
        </w:rPr>
        <w:t xml:space="preserve"> to secure email.  </w:t>
      </w:r>
      <w:r w:rsidR="003C7002" w:rsidRPr="009F1172">
        <w:rPr>
          <w:rFonts w:ascii="Times New Roman" w:hAnsi="Times New Roman" w:cs="Times New Roman"/>
          <w:sz w:val="24"/>
          <w:szCs w:val="24"/>
        </w:rPr>
        <w:t>CMS</w:t>
      </w:r>
      <w:r w:rsidR="0014550E" w:rsidRPr="009F1172">
        <w:rPr>
          <w:rFonts w:ascii="Times New Roman" w:hAnsi="Times New Roman" w:cs="Times New Roman"/>
          <w:sz w:val="24"/>
          <w:szCs w:val="24"/>
        </w:rPr>
        <w:t xml:space="preserve"> has requested comments on the appropriateness of limiting this measure to only those standards finalized by ONC</w:t>
      </w:r>
      <w:r w:rsidR="000E00CE" w:rsidRPr="009F1172">
        <w:rPr>
          <w:rFonts w:ascii="Times New Roman" w:hAnsi="Times New Roman" w:cs="Times New Roman"/>
          <w:sz w:val="24"/>
          <w:szCs w:val="24"/>
        </w:rPr>
        <w:t>.  We oppose limiting the numerator to the protocols outlined by ONC.</w:t>
      </w:r>
      <w:r w:rsidR="00A45DBE" w:rsidRPr="009F1172">
        <w:rPr>
          <w:rFonts w:ascii="Times New Roman" w:hAnsi="Times New Roman" w:cs="Times New Roman"/>
          <w:sz w:val="24"/>
          <w:szCs w:val="24"/>
        </w:rPr>
        <w:t xml:space="preserve">  </w:t>
      </w:r>
    </w:p>
    <w:p w:rsidR="000E00CE" w:rsidRPr="009F1172" w:rsidRDefault="000E00CE" w:rsidP="000E00CE">
      <w:pPr>
        <w:spacing w:after="0" w:line="240" w:lineRule="auto"/>
        <w:ind w:firstLine="720"/>
        <w:rPr>
          <w:rFonts w:ascii="Times New Roman" w:hAnsi="Times New Roman" w:cs="Times New Roman"/>
          <w:sz w:val="24"/>
          <w:szCs w:val="24"/>
        </w:rPr>
      </w:pPr>
    </w:p>
    <w:p w:rsidR="002C0D98" w:rsidRPr="009F1172" w:rsidRDefault="00A45DBE" w:rsidP="005014FD">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While the Direct protocol may be desirable </w:t>
      </w:r>
      <w:r w:rsidR="008D0D57" w:rsidRPr="009F1172">
        <w:rPr>
          <w:rFonts w:ascii="Times New Roman" w:hAnsi="Times New Roman" w:cs="Times New Roman"/>
          <w:sz w:val="24"/>
          <w:szCs w:val="24"/>
        </w:rPr>
        <w:t xml:space="preserve">in certain ways </w:t>
      </w:r>
      <w:r w:rsidRPr="009F1172">
        <w:rPr>
          <w:rFonts w:ascii="Times New Roman" w:hAnsi="Times New Roman" w:cs="Times New Roman"/>
          <w:sz w:val="24"/>
          <w:szCs w:val="24"/>
        </w:rPr>
        <w:t xml:space="preserve">because of its greater potential for </w:t>
      </w:r>
      <w:r w:rsidR="007F0990" w:rsidRPr="009F1172">
        <w:rPr>
          <w:rFonts w:ascii="Times New Roman" w:hAnsi="Times New Roman" w:cs="Times New Roman"/>
          <w:sz w:val="24"/>
          <w:szCs w:val="24"/>
        </w:rPr>
        <w:t>adoption</w:t>
      </w:r>
      <w:r w:rsidRPr="009F1172">
        <w:rPr>
          <w:rFonts w:ascii="Times New Roman" w:hAnsi="Times New Roman" w:cs="Times New Roman"/>
          <w:sz w:val="24"/>
          <w:szCs w:val="24"/>
        </w:rPr>
        <w:t xml:space="preserve">, </w:t>
      </w:r>
      <w:r w:rsidR="007F0990" w:rsidRPr="009F1172">
        <w:rPr>
          <w:rFonts w:ascii="Times New Roman" w:hAnsi="Times New Roman" w:cs="Times New Roman"/>
          <w:sz w:val="24"/>
          <w:szCs w:val="24"/>
        </w:rPr>
        <w:t xml:space="preserve">requiring it </w:t>
      </w:r>
      <w:r w:rsidR="00977C12" w:rsidRPr="009F1172">
        <w:rPr>
          <w:rFonts w:ascii="Times New Roman" w:hAnsi="Times New Roman" w:cs="Times New Roman"/>
          <w:sz w:val="24"/>
          <w:szCs w:val="24"/>
        </w:rPr>
        <w:t xml:space="preserve">as an </w:t>
      </w:r>
      <w:r w:rsidRPr="009F1172">
        <w:rPr>
          <w:rFonts w:ascii="Times New Roman" w:hAnsi="Times New Roman" w:cs="Times New Roman"/>
          <w:sz w:val="24"/>
          <w:szCs w:val="24"/>
        </w:rPr>
        <w:t xml:space="preserve">exclusive </w:t>
      </w:r>
      <w:r w:rsidR="007F0990" w:rsidRPr="009F1172">
        <w:rPr>
          <w:rFonts w:ascii="Times New Roman" w:hAnsi="Times New Roman" w:cs="Times New Roman"/>
          <w:sz w:val="24"/>
          <w:szCs w:val="24"/>
        </w:rPr>
        <w:t xml:space="preserve">standard </w:t>
      </w:r>
      <w:r w:rsidRPr="009F1172">
        <w:rPr>
          <w:rFonts w:ascii="Times New Roman" w:hAnsi="Times New Roman" w:cs="Times New Roman"/>
          <w:sz w:val="24"/>
          <w:szCs w:val="24"/>
        </w:rPr>
        <w:t xml:space="preserve">frustrates </w:t>
      </w:r>
      <w:r w:rsidR="00977C12" w:rsidRPr="009F1172">
        <w:rPr>
          <w:rFonts w:ascii="Times New Roman" w:hAnsi="Times New Roman" w:cs="Times New Roman"/>
          <w:sz w:val="24"/>
          <w:szCs w:val="24"/>
        </w:rPr>
        <w:t xml:space="preserve">providers who are already using </w:t>
      </w:r>
      <w:r w:rsidR="007F0990" w:rsidRPr="009F1172">
        <w:rPr>
          <w:rFonts w:ascii="Times New Roman" w:hAnsi="Times New Roman" w:cs="Times New Roman"/>
          <w:sz w:val="24"/>
          <w:szCs w:val="24"/>
        </w:rPr>
        <w:t>alternate standards</w:t>
      </w:r>
      <w:r w:rsidRPr="009F1172">
        <w:rPr>
          <w:rFonts w:ascii="Times New Roman" w:hAnsi="Times New Roman" w:cs="Times New Roman"/>
          <w:sz w:val="24"/>
          <w:szCs w:val="24"/>
        </w:rPr>
        <w:t xml:space="preserve">.  </w:t>
      </w:r>
      <w:r w:rsidR="00977C12" w:rsidRPr="009F1172">
        <w:rPr>
          <w:rFonts w:ascii="Times New Roman" w:hAnsi="Times New Roman" w:cs="Times New Roman"/>
          <w:sz w:val="24"/>
          <w:szCs w:val="24"/>
        </w:rPr>
        <w:t xml:space="preserve">This </w:t>
      </w:r>
      <w:r w:rsidR="000E00CE" w:rsidRPr="009F1172">
        <w:rPr>
          <w:rFonts w:ascii="Times New Roman" w:hAnsi="Times New Roman" w:cs="Times New Roman"/>
          <w:sz w:val="24"/>
          <w:szCs w:val="24"/>
        </w:rPr>
        <w:t xml:space="preserve">policy </w:t>
      </w:r>
      <w:r w:rsidR="00977C12" w:rsidRPr="009F1172">
        <w:rPr>
          <w:rFonts w:ascii="Times New Roman" w:hAnsi="Times New Roman" w:cs="Times New Roman"/>
          <w:sz w:val="24"/>
          <w:szCs w:val="24"/>
        </w:rPr>
        <w:t xml:space="preserve">devalues the </w:t>
      </w:r>
      <w:r w:rsidR="000E00CE" w:rsidRPr="009F1172">
        <w:rPr>
          <w:rFonts w:ascii="Times New Roman" w:hAnsi="Times New Roman" w:cs="Times New Roman"/>
          <w:sz w:val="24"/>
          <w:szCs w:val="24"/>
        </w:rPr>
        <w:t>time</w:t>
      </w:r>
      <w:r w:rsidRPr="009F1172">
        <w:rPr>
          <w:rFonts w:ascii="Times New Roman" w:hAnsi="Times New Roman" w:cs="Times New Roman"/>
          <w:sz w:val="24"/>
          <w:szCs w:val="24"/>
        </w:rPr>
        <w:t xml:space="preserve"> and </w:t>
      </w:r>
      <w:r w:rsidR="000E00CE" w:rsidRPr="009F1172">
        <w:rPr>
          <w:rFonts w:ascii="Times New Roman" w:hAnsi="Times New Roman" w:cs="Times New Roman"/>
          <w:sz w:val="24"/>
          <w:szCs w:val="24"/>
        </w:rPr>
        <w:t xml:space="preserve">resources </w:t>
      </w:r>
      <w:r w:rsidR="00977C12" w:rsidRPr="009F1172">
        <w:rPr>
          <w:rFonts w:ascii="Times New Roman" w:hAnsi="Times New Roman" w:cs="Times New Roman"/>
          <w:sz w:val="24"/>
          <w:szCs w:val="24"/>
        </w:rPr>
        <w:t xml:space="preserve">many have made </w:t>
      </w:r>
      <w:r w:rsidR="000E00CE" w:rsidRPr="009F1172">
        <w:rPr>
          <w:rFonts w:ascii="Times New Roman" w:hAnsi="Times New Roman" w:cs="Times New Roman"/>
          <w:sz w:val="24"/>
          <w:szCs w:val="24"/>
        </w:rPr>
        <w:t xml:space="preserve">in </w:t>
      </w:r>
      <w:r w:rsidRPr="009F1172">
        <w:rPr>
          <w:rFonts w:ascii="Times New Roman" w:hAnsi="Times New Roman" w:cs="Times New Roman"/>
          <w:sz w:val="24"/>
          <w:szCs w:val="24"/>
        </w:rPr>
        <w:t>moving</w:t>
      </w:r>
      <w:r w:rsidR="00D821C5" w:rsidRPr="009F1172">
        <w:rPr>
          <w:rFonts w:ascii="Times New Roman" w:hAnsi="Times New Roman" w:cs="Times New Roman"/>
          <w:sz w:val="24"/>
          <w:szCs w:val="24"/>
        </w:rPr>
        <w:t xml:space="preserve"> beyond simple point</w:t>
      </w:r>
      <w:r w:rsidR="000E00CE" w:rsidRPr="009F1172">
        <w:rPr>
          <w:rFonts w:ascii="Times New Roman" w:hAnsi="Times New Roman" w:cs="Times New Roman"/>
          <w:sz w:val="24"/>
          <w:szCs w:val="24"/>
        </w:rPr>
        <w:t>-</w:t>
      </w:r>
      <w:r w:rsidR="00D821C5" w:rsidRPr="009F1172">
        <w:rPr>
          <w:rFonts w:ascii="Times New Roman" w:hAnsi="Times New Roman" w:cs="Times New Roman"/>
          <w:sz w:val="24"/>
          <w:szCs w:val="24"/>
        </w:rPr>
        <w:t>to</w:t>
      </w:r>
      <w:r w:rsidR="000E00CE" w:rsidRPr="009F1172">
        <w:rPr>
          <w:rFonts w:ascii="Times New Roman" w:hAnsi="Times New Roman" w:cs="Times New Roman"/>
          <w:sz w:val="24"/>
          <w:szCs w:val="24"/>
        </w:rPr>
        <w:t>-</w:t>
      </w:r>
      <w:r w:rsidR="00D821C5" w:rsidRPr="009F1172">
        <w:rPr>
          <w:rFonts w:ascii="Times New Roman" w:hAnsi="Times New Roman" w:cs="Times New Roman"/>
          <w:sz w:val="24"/>
          <w:szCs w:val="24"/>
        </w:rPr>
        <w:t>point messaging</w:t>
      </w:r>
      <w:r w:rsidR="000E00CE" w:rsidRPr="009F1172">
        <w:rPr>
          <w:rFonts w:ascii="Times New Roman" w:hAnsi="Times New Roman" w:cs="Times New Roman"/>
          <w:sz w:val="24"/>
          <w:szCs w:val="24"/>
        </w:rPr>
        <w:t>, forcing them</w:t>
      </w:r>
      <w:r w:rsidR="00D821C5" w:rsidRPr="009F1172">
        <w:rPr>
          <w:rFonts w:ascii="Times New Roman" w:hAnsi="Times New Roman" w:cs="Times New Roman"/>
          <w:sz w:val="24"/>
          <w:szCs w:val="24"/>
        </w:rPr>
        <w:t xml:space="preserve"> to redesign their more robust systems to meet the Direct protocol.   </w:t>
      </w:r>
      <w:r w:rsidR="000E00CE" w:rsidRPr="009F1172">
        <w:rPr>
          <w:rFonts w:ascii="Times New Roman" w:hAnsi="Times New Roman" w:cs="Times New Roman"/>
          <w:sz w:val="24"/>
          <w:szCs w:val="24"/>
        </w:rPr>
        <w:t>Our further concerns include:</w:t>
      </w:r>
    </w:p>
    <w:p w:rsidR="005014FD" w:rsidRPr="009F1172" w:rsidRDefault="005014FD" w:rsidP="005014FD">
      <w:pPr>
        <w:spacing w:after="0" w:line="240" w:lineRule="auto"/>
        <w:ind w:firstLine="720"/>
        <w:rPr>
          <w:rFonts w:ascii="Times New Roman" w:hAnsi="Times New Roman" w:cs="Times New Roman"/>
          <w:sz w:val="24"/>
          <w:szCs w:val="24"/>
        </w:rPr>
      </w:pPr>
    </w:p>
    <w:p w:rsidR="00D821C5" w:rsidRPr="009F1172" w:rsidRDefault="00D821C5" w:rsidP="00D821C5">
      <w:pPr>
        <w:pStyle w:val="ListParagraph"/>
        <w:numPr>
          <w:ilvl w:val="0"/>
          <w:numId w:val="1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While rapidly implementable</w:t>
      </w:r>
      <w:r w:rsidR="000E00CE" w:rsidRPr="009F1172">
        <w:rPr>
          <w:rFonts w:ascii="Times New Roman" w:hAnsi="Times New Roman" w:cs="Times New Roman"/>
          <w:sz w:val="24"/>
          <w:szCs w:val="24"/>
        </w:rPr>
        <w:t>,</w:t>
      </w:r>
      <w:r w:rsidRPr="009F1172">
        <w:rPr>
          <w:rFonts w:ascii="Times New Roman" w:hAnsi="Times New Roman" w:cs="Times New Roman"/>
          <w:sz w:val="24"/>
          <w:szCs w:val="24"/>
        </w:rPr>
        <w:t xml:space="preserve"> </w:t>
      </w:r>
      <w:r w:rsidR="000E00CE" w:rsidRPr="009F1172">
        <w:rPr>
          <w:rFonts w:ascii="Times New Roman" w:hAnsi="Times New Roman" w:cs="Times New Roman"/>
          <w:sz w:val="24"/>
          <w:szCs w:val="24"/>
        </w:rPr>
        <w:t xml:space="preserve">the Direct standard </w:t>
      </w:r>
      <w:r w:rsidRPr="009F1172">
        <w:rPr>
          <w:rFonts w:ascii="Times New Roman" w:hAnsi="Times New Roman" w:cs="Times New Roman"/>
          <w:sz w:val="24"/>
          <w:szCs w:val="24"/>
        </w:rPr>
        <w:t xml:space="preserve">is minimally scalable and would likely lack the data liquidity necessary to enable health IT dependent </w:t>
      </w:r>
      <w:r w:rsidR="007F0990" w:rsidRPr="009F1172">
        <w:rPr>
          <w:rFonts w:ascii="Times New Roman" w:hAnsi="Times New Roman" w:cs="Times New Roman"/>
          <w:sz w:val="24"/>
          <w:szCs w:val="24"/>
        </w:rPr>
        <w:t>models</w:t>
      </w:r>
      <w:r w:rsidR="004E0215" w:rsidRPr="009F1172">
        <w:rPr>
          <w:rFonts w:ascii="Times New Roman" w:hAnsi="Times New Roman" w:cs="Times New Roman"/>
          <w:sz w:val="24"/>
          <w:szCs w:val="24"/>
        </w:rPr>
        <w:t>,</w:t>
      </w:r>
      <w:r w:rsidR="007F0990" w:rsidRPr="009F1172">
        <w:rPr>
          <w:rFonts w:ascii="Times New Roman" w:hAnsi="Times New Roman" w:cs="Times New Roman"/>
          <w:sz w:val="24"/>
          <w:szCs w:val="24"/>
        </w:rPr>
        <w:t xml:space="preserve"> such as ACOs </w:t>
      </w:r>
      <w:r w:rsidRPr="009F1172">
        <w:rPr>
          <w:rFonts w:ascii="Times New Roman" w:hAnsi="Times New Roman" w:cs="Times New Roman"/>
          <w:sz w:val="24"/>
          <w:szCs w:val="24"/>
        </w:rPr>
        <w:t>and medical homes.</w:t>
      </w:r>
    </w:p>
    <w:p w:rsidR="00D821C5" w:rsidRPr="009F1172" w:rsidRDefault="00D821C5" w:rsidP="00D821C5">
      <w:pPr>
        <w:pStyle w:val="ListParagraph"/>
        <w:spacing w:after="0" w:line="240" w:lineRule="auto"/>
        <w:rPr>
          <w:rFonts w:ascii="Times New Roman" w:hAnsi="Times New Roman" w:cs="Times New Roman"/>
          <w:sz w:val="24"/>
          <w:szCs w:val="24"/>
        </w:rPr>
      </w:pPr>
    </w:p>
    <w:p w:rsidR="00D821C5" w:rsidRPr="009F1172" w:rsidRDefault="008C5EC1" w:rsidP="00D821C5">
      <w:pPr>
        <w:pStyle w:val="ListParagraph"/>
        <w:numPr>
          <w:ilvl w:val="0"/>
          <w:numId w:val="13"/>
        </w:num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 xml:space="preserve">The </w:t>
      </w:r>
      <w:r w:rsidR="00D821C5" w:rsidRPr="009F1172">
        <w:rPr>
          <w:rFonts w:ascii="Times New Roman" w:hAnsi="Times New Roman" w:cs="Times New Roman"/>
          <w:sz w:val="24"/>
          <w:szCs w:val="24"/>
        </w:rPr>
        <w:t xml:space="preserve">Direct </w:t>
      </w:r>
      <w:r w:rsidRPr="009F1172">
        <w:rPr>
          <w:rFonts w:ascii="Times New Roman" w:hAnsi="Times New Roman" w:cs="Times New Roman"/>
          <w:sz w:val="24"/>
          <w:szCs w:val="24"/>
        </w:rPr>
        <w:t xml:space="preserve">standard </w:t>
      </w:r>
      <w:r w:rsidR="00D821C5" w:rsidRPr="009F1172">
        <w:rPr>
          <w:rFonts w:ascii="Times New Roman" w:hAnsi="Times New Roman" w:cs="Times New Roman"/>
          <w:sz w:val="24"/>
          <w:szCs w:val="24"/>
        </w:rPr>
        <w:t xml:space="preserve">is good at sending discrete information, but </w:t>
      </w:r>
      <w:r w:rsidR="00A33D87" w:rsidRPr="009F1172">
        <w:rPr>
          <w:rFonts w:ascii="Times New Roman" w:hAnsi="Times New Roman" w:cs="Times New Roman"/>
          <w:sz w:val="24"/>
          <w:szCs w:val="24"/>
        </w:rPr>
        <w:t>it simply does not deliver the</w:t>
      </w:r>
      <w:r w:rsidR="00D821C5" w:rsidRPr="009F1172">
        <w:rPr>
          <w:rFonts w:ascii="Times New Roman" w:hAnsi="Times New Roman" w:cs="Times New Roman"/>
          <w:sz w:val="24"/>
          <w:szCs w:val="24"/>
        </w:rPr>
        <w:t xml:space="preserve"> aggregat</w:t>
      </w:r>
      <w:r w:rsidR="00A33D87" w:rsidRPr="009F1172">
        <w:rPr>
          <w:rFonts w:ascii="Times New Roman" w:hAnsi="Times New Roman" w:cs="Times New Roman"/>
          <w:sz w:val="24"/>
          <w:szCs w:val="24"/>
        </w:rPr>
        <w:t>ed</w:t>
      </w:r>
      <w:r w:rsidR="00D821C5" w:rsidRPr="009F1172">
        <w:rPr>
          <w:rFonts w:ascii="Times New Roman" w:hAnsi="Times New Roman" w:cs="Times New Roman"/>
          <w:sz w:val="24"/>
          <w:szCs w:val="24"/>
        </w:rPr>
        <w:t xml:space="preserve"> information </w:t>
      </w:r>
      <w:r w:rsidR="00A33D87" w:rsidRPr="009F1172">
        <w:rPr>
          <w:rFonts w:ascii="Times New Roman" w:hAnsi="Times New Roman" w:cs="Times New Roman"/>
          <w:sz w:val="24"/>
          <w:szCs w:val="24"/>
        </w:rPr>
        <w:t xml:space="preserve">necessary </w:t>
      </w:r>
      <w:r w:rsidR="00D821C5" w:rsidRPr="009F1172">
        <w:rPr>
          <w:rFonts w:ascii="Times New Roman" w:hAnsi="Times New Roman" w:cs="Times New Roman"/>
          <w:sz w:val="24"/>
          <w:szCs w:val="24"/>
        </w:rPr>
        <w:t xml:space="preserve">to assist the delivery of care in coordinated settings.  </w:t>
      </w:r>
      <w:r w:rsidR="00C4785D" w:rsidRPr="009F1172">
        <w:rPr>
          <w:rFonts w:ascii="Times New Roman" w:hAnsi="Times New Roman" w:cs="Times New Roman"/>
          <w:sz w:val="24"/>
          <w:szCs w:val="24"/>
        </w:rPr>
        <w:t xml:space="preserve">This creates patient safety issues since one clinician’s view of the patient encounter may be limited.  A summary of care record established at the local HIE level </w:t>
      </w:r>
      <w:r w:rsidR="00AD0CCB" w:rsidRPr="009F1172">
        <w:rPr>
          <w:rFonts w:ascii="Times New Roman" w:hAnsi="Times New Roman" w:cs="Times New Roman"/>
          <w:sz w:val="24"/>
          <w:szCs w:val="24"/>
        </w:rPr>
        <w:t>c</w:t>
      </w:r>
      <w:r w:rsidR="00C4785D" w:rsidRPr="009F1172">
        <w:rPr>
          <w:rFonts w:ascii="Times New Roman" w:hAnsi="Times New Roman" w:cs="Times New Roman"/>
          <w:sz w:val="24"/>
          <w:szCs w:val="24"/>
        </w:rPr>
        <w:t>ould provide a better, more up-to-date view of a patient’s history.</w:t>
      </w:r>
    </w:p>
    <w:p w:rsidR="008C5EC1" w:rsidRPr="009F1172" w:rsidRDefault="008C5EC1" w:rsidP="008C5EC1">
      <w:pPr>
        <w:pStyle w:val="ListParagraph"/>
        <w:rPr>
          <w:rFonts w:ascii="Times New Roman" w:hAnsi="Times New Roman" w:cs="Times New Roman"/>
          <w:sz w:val="24"/>
          <w:szCs w:val="24"/>
        </w:rPr>
      </w:pPr>
    </w:p>
    <w:p w:rsidR="00831837" w:rsidRPr="009F1172" w:rsidRDefault="00831837" w:rsidP="00CF7324">
      <w:pPr>
        <w:pStyle w:val="ListParagraph"/>
        <w:numPr>
          <w:ilvl w:val="0"/>
          <w:numId w:val="13"/>
        </w:numPr>
        <w:spacing w:line="240" w:lineRule="auto"/>
        <w:rPr>
          <w:rFonts w:ascii="Times New Roman" w:hAnsi="Times New Roman" w:cs="Times New Roman"/>
          <w:sz w:val="24"/>
          <w:szCs w:val="24"/>
        </w:rPr>
      </w:pPr>
      <w:r w:rsidRPr="009F1172">
        <w:rPr>
          <w:rFonts w:ascii="Times New Roman" w:hAnsi="Times New Roman" w:cs="Times New Roman"/>
          <w:sz w:val="24"/>
          <w:szCs w:val="24"/>
        </w:rPr>
        <w:t xml:space="preserve">There are several ways providers interact with HIEs that are not sufficiently supported by </w:t>
      </w:r>
      <w:r w:rsidR="00C4785D" w:rsidRPr="009F1172">
        <w:rPr>
          <w:rFonts w:ascii="Times New Roman" w:hAnsi="Times New Roman" w:cs="Times New Roman"/>
          <w:sz w:val="24"/>
          <w:szCs w:val="24"/>
        </w:rPr>
        <w:t>D</w:t>
      </w:r>
      <w:r w:rsidRPr="009F1172">
        <w:rPr>
          <w:rFonts w:ascii="Times New Roman" w:hAnsi="Times New Roman" w:cs="Times New Roman"/>
          <w:sz w:val="24"/>
          <w:szCs w:val="24"/>
        </w:rPr>
        <w:t xml:space="preserve">irect: records may be exchanged point to point, sent through a Health Information Exchange organization or published to a condition-specific registry operated by a professional society or patient organization. </w:t>
      </w:r>
      <w:r w:rsidR="00C4785D" w:rsidRPr="009F1172">
        <w:rPr>
          <w:rFonts w:ascii="Times New Roman" w:hAnsi="Times New Roman" w:cs="Times New Roman"/>
          <w:sz w:val="24"/>
          <w:szCs w:val="24"/>
        </w:rPr>
        <w:t xml:space="preserve"> </w:t>
      </w:r>
      <w:r w:rsidRPr="009F1172">
        <w:rPr>
          <w:rFonts w:ascii="Times New Roman" w:hAnsi="Times New Roman" w:cs="Times New Roman"/>
          <w:sz w:val="24"/>
          <w:szCs w:val="24"/>
        </w:rPr>
        <w:t>To service these use cases, we believe NwHIN Exchange standards should be an acceptable demonstration of the electronic exchange measurement</w:t>
      </w:r>
      <w:r w:rsidR="00192C55" w:rsidRPr="009F1172">
        <w:rPr>
          <w:rFonts w:ascii="Times New Roman" w:hAnsi="Times New Roman" w:cs="Times New Roman"/>
          <w:sz w:val="24"/>
          <w:szCs w:val="24"/>
        </w:rPr>
        <w:t>.</w:t>
      </w:r>
    </w:p>
    <w:p w:rsidR="002C0D98" w:rsidRPr="009F1172" w:rsidRDefault="00981D72" w:rsidP="008C5EC1">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Direct is an important step in fostering information sharing between providers, but Direct should be a floor, not a </w:t>
      </w:r>
      <w:r w:rsidR="00C4785D" w:rsidRPr="009F1172">
        <w:rPr>
          <w:rFonts w:ascii="Times New Roman" w:hAnsi="Times New Roman" w:cs="Times New Roman"/>
          <w:sz w:val="24"/>
          <w:szCs w:val="24"/>
        </w:rPr>
        <w:t xml:space="preserve">floor and a </w:t>
      </w:r>
      <w:r w:rsidRPr="009F1172">
        <w:rPr>
          <w:rFonts w:ascii="Times New Roman" w:hAnsi="Times New Roman" w:cs="Times New Roman"/>
          <w:sz w:val="24"/>
          <w:szCs w:val="24"/>
        </w:rPr>
        <w:t>ceiling.  W</w:t>
      </w:r>
      <w:r w:rsidR="002C0D98" w:rsidRPr="009F1172">
        <w:rPr>
          <w:rFonts w:ascii="Times New Roman" w:hAnsi="Times New Roman" w:cs="Times New Roman"/>
          <w:sz w:val="24"/>
          <w:szCs w:val="24"/>
        </w:rPr>
        <w:t xml:space="preserve">e </w:t>
      </w:r>
      <w:r w:rsidR="008C5EC1" w:rsidRPr="009F1172">
        <w:rPr>
          <w:rFonts w:ascii="Times New Roman" w:hAnsi="Times New Roman" w:cs="Times New Roman"/>
          <w:sz w:val="24"/>
          <w:szCs w:val="24"/>
        </w:rPr>
        <w:t xml:space="preserve">suggest </w:t>
      </w:r>
      <w:r w:rsidR="002C0D98" w:rsidRPr="009F1172">
        <w:rPr>
          <w:rFonts w:ascii="Times New Roman" w:hAnsi="Times New Roman" w:cs="Times New Roman"/>
          <w:sz w:val="24"/>
          <w:szCs w:val="24"/>
        </w:rPr>
        <w:t>allow</w:t>
      </w:r>
      <w:r w:rsidR="008C5EC1" w:rsidRPr="009F1172">
        <w:rPr>
          <w:rFonts w:ascii="Times New Roman" w:hAnsi="Times New Roman" w:cs="Times New Roman"/>
          <w:sz w:val="24"/>
          <w:szCs w:val="24"/>
        </w:rPr>
        <w:t>ing</w:t>
      </w:r>
      <w:r w:rsidR="002C0D98" w:rsidRPr="009F1172">
        <w:rPr>
          <w:rFonts w:ascii="Times New Roman" w:hAnsi="Times New Roman" w:cs="Times New Roman"/>
          <w:sz w:val="24"/>
          <w:szCs w:val="24"/>
        </w:rPr>
        <w:t xml:space="preserve"> for backwards </w:t>
      </w:r>
      <w:r w:rsidR="00715ECB" w:rsidRPr="009F1172">
        <w:rPr>
          <w:rFonts w:ascii="Times New Roman" w:hAnsi="Times New Roman" w:cs="Times New Roman"/>
          <w:sz w:val="24"/>
          <w:szCs w:val="24"/>
        </w:rPr>
        <w:t>compatibility</w:t>
      </w:r>
      <w:r w:rsidR="002C0D98" w:rsidRPr="009F1172">
        <w:rPr>
          <w:rFonts w:ascii="Times New Roman" w:hAnsi="Times New Roman" w:cs="Times New Roman"/>
          <w:sz w:val="24"/>
          <w:szCs w:val="24"/>
        </w:rPr>
        <w:t xml:space="preserve"> to the standards</w:t>
      </w:r>
      <w:r w:rsidR="007F0990" w:rsidRPr="009F1172">
        <w:rPr>
          <w:rFonts w:ascii="Times New Roman" w:hAnsi="Times New Roman" w:cs="Times New Roman"/>
          <w:sz w:val="24"/>
          <w:szCs w:val="24"/>
        </w:rPr>
        <w:t xml:space="preserve"> and recognizing </w:t>
      </w:r>
      <w:r w:rsidR="00A33D87" w:rsidRPr="009F1172">
        <w:rPr>
          <w:rFonts w:ascii="Times New Roman" w:hAnsi="Times New Roman" w:cs="Times New Roman"/>
          <w:sz w:val="24"/>
          <w:szCs w:val="24"/>
        </w:rPr>
        <w:t xml:space="preserve">all standards-based </w:t>
      </w:r>
      <w:r w:rsidR="00977C12" w:rsidRPr="009F1172">
        <w:rPr>
          <w:rFonts w:ascii="Times New Roman" w:hAnsi="Times New Roman" w:cs="Times New Roman"/>
          <w:sz w:val="24"/>
          <w:szCs w:val="24"/>
        </w:rPr>
        <w:t xml:space="preserve">information </w:t>
      </w:r>
      <w:r w:rsidR="007F0990" w:rsidRPr="009F1172">
        <w:rPr>
          <w:rFonts w:ascii="Times New Roman" w:hAnsi="Times New Roman" w:cs="Times New Roman"/>
          <w:sz w:val="24"/>
          <w:szCs w:val="24"/>
        </w:rPr>
        <w:t>exchanges in the numerator of the measure</w:t>
      </w:r>
      <w:r w:rsidR="002C0D98" w:rsidRPr="009F1172">
        <w:rPr>
          <w:rFonts w:ascii="Times New Roman" w:hAnsi="Times New Roman" w:cs="Times New Roman"/>
          <w:sz w:val="24"/>
          <w:szCs w:val="24"/>
        </w:rPr>
        <w:t xml:space="preserve">.  Doing so would allow health care providers to use transport </w:t>
      </w:r>
      <w:r w:rsidR="003C7002" w:rsidRPr="009F1172">
        <w:rPr>
          <w:rFonts w:ascii="Times New Roman" w:hAnsi="Times New Roman" w:cs="Times New Roman"/>
          <w:sz w:val="24"/>
          <w:szCs w:val="24"/>
        </w:rPr>
        <w:t xml:space="preserve">standards </w:t>
      </w:r>
      <w:r w:rsidR="002C0D98" w:rsidRPr="009F1172">
        <w:rPr>
          <w:rFonts w:ascii="Times New Roman" w:hAnsi="Times New Roman" w:cs="Times New Roman"/>
          <w:sz w:val="24"/>
          <w:szCs w:val="24"/>
        </w:rPr>
        <w:t xml:space="preserve">that allow both sharing and querying of data residing in multiple locations.   </w:t>
      </w:r>
      <w:r w:rsidR="003C7002" w:rsidRPr="009F1172">
        <w:rPr>
          <w:rFonts w:ascii="Times New Roman" w:hAnsi="Times New Roman" w:cs="Times New Roman"/>
          <w:sz w:val="24"/>
          <w:szCs w:val="24"/>
        </w:rPr>
        <w:t>B</w:t>
      </w:r>
      <w:r w:rsidR="009B2095" w:rsidRPr="009F1172">
        <w:rPr>
          <w:rFonts w:ascii="Times New Roman" w:hAnsi="Times New Roman" w:cs="Times New Roman"/>
          <w:sz w:val="24"/>
          <w:szCs w:val="24"/>
        </w:rPr>
        <w:t>ackward compatib</w:t>
      </w:r>
      <w:r w:rsidR="00A45DBE" w:rsidRPr="009F1172">
        <w:rPr>
          <w:rFonts w:ascii="Times New Roman" w:hAnsi="Times New Roman" w:cs="Times New Roman"/>
          <w:sz w:val="24"/>
          <w:szCs w:val="24"/>
        </w:rPr>
        <w:t>ility</w:t>
      </w:r>
      <w:r w:rsidR="009B2095" w:rsidRPr="009F1172">
        <w:rPr>
          <w:rFonts w:ascii="Times New Roman" w:hAnsi="Times New Roman" w:cs="Times New Roman"/>
          <w:sz w:val="24"/>
          <w:szCs w:val="24"/>
        </w:rPr>
        <w:t xml:space="preserve"> standard</w:t>
      </w:r>
      <w:r w:rsidR="003C7002" w:rsidRPr="009F1172">
        <w:rPr>
          <w:rFonts w:ascii="Times New Roman" w:hAnsi="Times New Roman" w:cs="Times New Roman"/>
          <w:sz w:val="24"/>
          <w:szCs w:val="24"/>
        </w:rPr>
        <w:t>s</w:t>
      </w:r>
      <w:r w:rsidR="009B2095" w:rsidRPr="009F1172">
        <w:rPr>
          <w:rFonts w:ascii="Times New Roman" w:hAnsi="Times New Roman" w:cs="Times New Roman"/>
          <w:sz w:val="24"/>
          <w:szCs w:val="24"/>
        </w:rPr>
        <w:t xml:space="preserve"> allow the market to evolve without federal rulemaking, but </w:t>
      </w:r>
      <w:r w:rsidR="00A33D87" w:rsidRPr="009F1172">
        <w:rPr>
          <w:rFonts w:ascii="Times New Roman" w:hAnsi="Times New Roman" w:cs="Times New Roman"/>
          <w:sz w:val="24"/>
          <w:szCs w:val="24"/>
        </w:rPr>
        <w:t xml:space="preserve">they </w:t>
      </w:r>
      <w:r w:rsidR="009B2095" w:rsidRPr="009F1172">
        <w:rPr>
          <w:rFonts w:ascii="Times New Roman" w:hAnsi="Times New Roman" w:cs="Times New Roman"/>
          <w:sz w:val="24"/>
          <w:szCs w:val="24"/>
        </w:rPr>
        <w:t xml:space="preserve">still </w:t>
      </w:r>
      <w:r w:rsidR="00A45DBE" w:rsidRPr="009F1172">
        <w:rPr>
          <w:rFonts w:ascii="Times New Roman" w:hAnsi="Times New Roman" w:cs="Times New Roman"/>
          <w:sz w:val="24"/>
          <w:szCs w:val="24"/>
        </w:rPr>
        <w:t>support</w:t>
      </w:r>
      <w:r w:rsidR="009B2095" w:rsidRPr="009F1172">
        <w:rPr>
          <w:rFonts w:ascii="Times New Roman" w:hAnsi="Times New Roman" w:cs="Times New Roman"/>
          <w:sz w:val="24"/>
          <w:szCs w:val="24"/>
        </w:rPr>
        <w:t xml:space="preserve"> the </w:t>
      </w:r>
      <w:r w:rsidR="003C7002" w:rsidRPr="009F1172">
        <w:rPr>
          <w:rFonts w:ascii="Times New Roman" w:hAnsi="Times New Roman" w:cs="Times New Roman"/>
          <w:sz w:val="24"/>
          <w:szCs w:val="24"/>
        </w:rPr>
        <w:t xml:space="preserve">approach </w:t>
      </w:r>
      <w:r w:rsidR="009B2095" w:rsidRPr="009F1172">
        <w:rPr>
          <w:rFonts w:ascii="Times New Roman" w:hAnsi="Times New Roman" w:cs="Times New Roman"/>
          <w:sz w:val="24"/>
          <w:szCs w:val="24"/>
        </w:rPr>
        <w:t xml:space="preserve">ONC and </w:t>
      </w:r>
      <w:r w:rsidR="003C7002" w:rsidRPr="009F1172">
        <w:rPr>
          <w:rFonts w:ascii="Times New Roman" w:hAnsi="Times New Roman" w:cs="Times New Roman"/>
          <w:sz w:val="24"/>
          <w:szCs w:val="24"/>
        </w:rPr>
        <w:t>CMS</w:t>
      </w:r>
      <w:r w:rsidR="009B2095" w:rsidRPr="009F1172">
        <w:rPr>
          <w:rFonts w:ascii="Times New Roman" w:hAnsi="Times New Roman" w:cs="Times New Roman"/>
          <w:sz w:val="24"/>
          <w:szCs w:val="24"/>
        </w:rPr>
        <w:t xml:space="preserve"> are pur</w:t>
      </w:r>
      <w:r w:rsidR="00A61EC8" w:rsidRPr="009F1172">
        <w:rPr>
          <w:rFonts w:ascii="Times New Roman" w:hAnsi="Times New Roman" w:cs="Times New Roman"/>
          <w:sz w:val="24"/>
          <w:szCs w:val="24"/>
        </w:rPr>
        <w:t xml:space="preserve">suing through separate rules.  </w:t>
      </w:r>
      <w:r w:rsidR="009B2095" w:rsidRPr="009F1172">
        <w:rPr>
          <w:rFonts w:ascii="Times New Roman" w:hAnsi="Times New Roman" w:cs="Times New Roman"/>
          <w:sz w:val="24"/>
          <w:szCs w:val="24"/>
        </w:rPr>
        <w:t xml:space="preserve">We urge </w:t>
      </w:r>
      <w:r w:rsidR="003C7002" w:rsidRPr="009F1172">
        <w:rPr>
          <w:rFonts w:ascii="Times New Roman" w:hAnsi="Times New Roman" w:cs="Times New Roman"/>
          <w:sz w:val="24"/>
          <w:szCs w:val="24"/>
        </w:rPr>
        <w:t>CMS</w:t>
      </w:r>
      <w:r w:rsidR="009B2095" w:rsidRPr="009F1172">
        <w:rPr>
          <w:rFonts w:ascii="Times New Roman" w:hAnsi="Times New Roman" w:cs="Times New Roman"/>
          <w:sz w:val="24"/>
          <w:szCs w:val="24"/>
        </w:rPr>
        <w:t xml:space="preserve"> to recognize this potential by not adopting an exclusive numerator in the final rule.  </w:t>
      </w:r>
    </w:p>
    <w:p w:rsidR="00831837" w:rsidRPr="009F1172" w:rsidRDefault="00831837" w:rsidP="008C5EC1">
      <w:pPr>
        <w:spacing w:after="0" w:line="240" w:lineRule="auto"/>
        <w:ind w:firstLine="720"/>
        <w:rPr>
          <w:rFonts w:ascii="Times New Roman" w:hAnsi="Times New Roman" w:cs="Times New Roman"/>
          <w:sz w:val="24"/>
          <w:szCs w:val="24"/>
        </w:rPr>
      </w:pPr>
    </w:p>
    <w:p w:rsidR="001F5DCD" w:rsidRDefault="001F5DCD" w:rsidP="00EE45F2">
      <w:pPr>
        <w:spacing w:after="0" w:line="240" w:lineRule="auto"/>
        <w:rPr>
          <w:rFonts w:ascii="Times New Roman" w:hAnsi="Times New Roman" w:cs="Times New Roman"/>
          <w:b/>
          <w:sz w:val="24"/>
          <w:szCs w:val="24"/>
        </w:rPr>
      </w:pPr>
    </w:p>
    <w:p w:rsidR="00EE45F2" w:rsidRPr="009F1172" w:rsidRDefault="009E3DEE" w:rsidP="00EE45F2">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lastRenderedPageBreak/>
        <w:t>I</w:t>
      </w:r>
      <w:r w:rsidR="00FA6594" w:rsidRPr="009F1172">
        <w:rPr>
          <w:rFonts w:ascii="Times New Roman" w:hAnsi="Times New Roman" w:cs="Times New Roman"/>
          <w:b/>
          <w:sz w:val="24"/>
          <w:szCs w:val="24"/>
        </w:rPr>
        <w:t>V</w:t>
      </w:r>
      <w:r w:rsidR="00EE45F2" w:rsidRPr="009F1172">
        <w:rPr>
          <w:rFonts w:ascii="Times New Roman" w:hAnsi="Times New Roman" w:cs="Times New Roman"/>
          <w:b/>
          <w:sz w:val="24"/>
          <w:szCs w:val="24"/>
        </w:rPr>
        <w:t>.  Other Information Exchange Standards</w:t>
      </w:r>
    </w:p>
    <w:p w:rsidR="00EE45F2" w:rsidRPr="009F1172" w:rsidRDefault="00EE45F2" w:rsidP="00EE45F2">
      <w:pPr>
        <w:spacing w:after="0" w:line="240" w:lineRule="auto"/>
        <w:rPr>
          <w:rFonts w:ascii="Times New Roman" w:hAnsi="Times New Roman" w:cs="Times New Roman"/>
          <w:b/>
          <w:sz w:val="24"/>
          <w:szCs w:val="24"/>
        </w:rPr>
      </w:pPr>
    </w:p>
    <w:p w:rsidR="00715ECB" w:rsidRPr="009F1172" w:rsidRDefault="00715ECB" w:rsidP="00EE45F2">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ab/>
        <w:t xml:space="preserve">Meaningful Use requirements </w:t>
      </w:r>
      <w:r w:rsidR="0041241F" w:rsidRPr="009F1172">
        <w:rPr>
          <w:rFonts w:ascii="Times New Roman" w:hAnsi="Times New Roman" w:cs="Times New Roman"/>
          <w:sz w:val="24"/>
          <w:szCs w:val="24"/>
        </w:rPr>
        <w:t>other than the summary-of-care record exchange also</w:t>
      </w:r>
      <w:r w:rsidRPr="009F1172">
        <w:rPr>
          <w:rFonts w:ascii="Times New Roman" w:hAnsi="Times New Roman" w:cs="Times New Roman"/>
          <w:sz w:val="24"/>
          <w:szCs w:val="24"/>
        </w:rPr>
        <w:t xml:space="preserve"> facilitate the </w:t>
      </w:r>
      <w:r w:rsidR="00977C12" w:rsidRPr="009F1172">
        <w:rPr>
          <w:rFonts w:ascii="Times New Roman" w:hAnsi="Times New Roman" w:cs="Times New Roman"/>
          <w:sz w:val="24"/>
          <w:szCs w:val="24"/>
        </w:rPr>
        <w:t xml:space="preserve">use of </w:t>
      </w:r>
      <w:r w:rsidR="0041241F" w:rsidRPr="009F1172">
        <w:rPr>
          <w:rFonts w:ascii="Times New Roman" w:hAnsi="Times New Roman" w:cs="Times New Roman"/>
          <w:sz w:val="24"/>
          <w:szCs w:val="24"/>
        </w:rPr>
        <w:t xml:space="preserve">key clinical information for care coordination and cost management.   </w:t>
      </w:r>
      <w:r w:rsidR="00E01E74" w:rsidRPr="009F1172">
        <w:rPr>
          <w:rFonts w:ascii="Times New Roman" w:hAnsi="Times New Roman" w:cs="Times New Roman"/>
          <w:sz w:val="24"/>
          <w:szCs w:val="24"/>
        </w:rPr>
        <w:t>W</w:t>
      </w:r>
      <w:r w:rsidRPr="009F1172">
        <w:rPr>
          <w:rFonts w:ascii="Times New Roman" w:hAnsi="Times New Roman" w:cs="Times New Roman"/>
          <w:sz w:val="24"/>
          <w:szCs w:val="24"/>
        </w:rPr>
        <w:t xml:space="preserve">e </w:t>
      </w:r>
      <w:r w:rsidR="0041241F" w:rsidRPr="009F1172">
        <w:rPr>
          <w:rFonts w:ascii="Times New Roman" w:hAnsi="Times New Roman" w:cs="Times New Roman"/>
          <w:sz w:val="24"/>
          <w:szCs w:val="24"/>
        </w:rPr>
        <w:t>offer the following suggestions</w:t>
      </w:r>
      <w:r w:rsidR="00E01E74" w:rsidRPr="009F1172">
        <w:rPr>
          <w:rFonts w:ascii="Times New Roman" w:hAnsi="Times New Roman" w:cs="Times New Roman"/>
          <w:sz w:val="24"/>
          <w:szCs w:val="24"/>
        </w:rPr>
        <w:t xml:space="preserve"> on these measures</w:t>
      </w:r>
      <w:r w:rsidR="0041241F" w:rsidRPr="009F1172">
        <w:rPr>
          <w:rFonts w:ascii="Times New Roman" w:hAnsi="Times New Roman" w:cs="Times New Roman"/>
          <w:sz w:val="24"/>
          <w:szCs w:val="24"/>
        </w:rPr>
        <w:t>:</w:t>
      </w:r>
    </w:p>
    <w:p w:rsidR="00715ECB" w:rsidRPr="009F1172" w:rsidRDefault="00715ECB" w:rsidP="00EE45F2">
      <w:pPr>
        <w:spacing w:after="0" w:line="240" w:lineRule="auto"/>
        <w:rPr>
          <w:rFonts w:ascii="Times New Roman" w:hAnsi="Times New Roman" w:cs="Times New Roman"/>
          <w:sz w:val="24"/>
          <w:szCs w:val="24"/>
        </w:rPr>
      </w:pPr>
    </w:p>
    <w:p w:rsidR="00EE45F2" w:rsidRPr="009F1172" w:rsidRDefault="00EE45F2" w:rsidP="00C03274">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eRx</w:t>
      </w:r>
      <w:r w:rsidR="00C03274" w:rsidRPr="009F1172">
        <w:rPr>
          <w:rFonts w:ascii="Times New Roman" w:hAnsi="Times New Roman" w:cs="Times New Roman"/>
          <w:b/>
          <w:sz w:val="24"/>
          <w:szCs w:val="24"/>
        </w:rPr>
        <w:t>:</w:t>
      </w:r>
      <w:r w:rsidR="0041241F" w:rsidRPr="009F1172">
        <w:rPr>
          <w:rFonts w:ascii="Times New Roman" w:hAnsi="Times New Roman" w:cs="Times New Roman"/>
          <w:sz w:val="24"/>
          <w:szCs w:val="24"/>
        </w:rPr>
        <w:t xml:space="preserve">  W</w:t>
      </w:r>
      <w:r w:rsidR="00C03274" w:rsidRPr="009F1172">
        <w:rPr>
          <w:rFonts w:ascii="Times New Roman" w:hAnsi="Times New Roman" w:cs="Times New Roman"/>
          <w:sz w:val="24"/>
          <w:szCs w:val="24"/>
        </w:rPr>
        <w:t xml:space="preserve">e support moving the percentage of </w:t>
      </w:r>
      <w:r w:rsidR="003C7002" w:rsidRPr="009F1172">
        <w:rPr>
          <w:rFonts w:ascii="Times New Roman" w:hAnsi="Times New Roman" w:cs="Times New Roman"/>
          <w:sz w:val="24"/>
          <w:szCs w:val="24"/>
        </w:rPr>
        <w:t xml:space="preserve">prescriptions </w:t>
      </w:r>
      <w:r w:rsidR="00C03274" w:rsidRPr="009F1172">
        <w:rPr>
          <w:rFonts w:ascii="Times New Roman" w:hAnsi="Times New Roman" w:cs="Times New Roman"/>
          <w:sz w:val="24"/>
          <w:szCs w:val="24"/>
        </w:rPr>
        <w:t>written electronically from 40 to 65 percent</w:t>
      </w:r>
      <w:r w:rsidR="0041241F" w:rsidRPr="009F1172">
        <w:rPr>
          <w:rFonts w:ascii="Times New Roman" w:hAnsi="Times New Roman" w:cs="Times New Roman"/>
          <w:sz w:val="24"/>
          <w:szCs w:val="24"/>
        </w:rPr>
        <w:t xml:space="preserve">. </w:t>
      </w:r>
      <w:r w:rsidR="008A6EBA" w:rsidRPr="009F1172">
        <w:rPr>
          <w:rFonts w:ascii="Times New Roman" w:hAnsi="Times New Roman" w:cs="Times New Roman"/>
          <w:sz w:val="24"/>
          <w:szCs w:val="24"/>
        </w:rPr>
        <w:t xml:space="preserve">RxNorm should be the required terminology standard.  </w:t>
      </w:r>
      <w:r w:rsidR="0041241F" w:rsidRPr="009F1172">
        <w:rPr>
          <w:rFonts w:ascii="Times New Roman" w:hAnsi="Times New Roman" w:cs="Times New Roman"/>
          <w:sz w:val="24"/>
          <w:szCs w:val="24"/>
        </w:rPr>
        <w:t xml:space="preserve">We </w:t>
      </w:r>
      <w:r w:rsidR="00C03274" w:rsidRPr="009F1172">
        <w:rPr>
          <w:rFonts w:ascii="Times New Roman" w:hAnsi="Times New Roman" w:cs="Times New Roman"/>
          <w:sz w:val="24"/>
          <w:szCs w:val="24"/>
        </w:rPr>
        <w:t xml:space="preserve">also support requiring the check of the script against at least one drug formulary.  The comparison to at least one drug formulary would be made easier if </w:t>
      </w:r>
      <w:r w:rsidR="003C7002" w:rsidRPr="009F1172">
        <w:rPr>
          <w:rFonts w:ascii="Times New Roman" w:hAnsi="Times New Roman" w:cs="Times New Roman"/>
          <w:sz w:val="24"/>
          <w:szCs w:val="24"/>
        </w:rPr>
        <w:t>CMS</w:t>
      </w:r>
      <w:r w:rsidR="00C03274" w:rsidRPr="009F1172">
        <w:rPr>
          <w:rFonts w:ascii="Times New Roman" w:hAnsi="Times New Roman" w:cs="Times New Roman"/>
          <w:sz w:val="24"/>
          <w:szCs w:val="24"/>
        </w:rPr>
        <w:t xml:space="preserve"> </w:t>
      </w:r>
      <w:r w:rsidR="00117A49" w:rsidRPr="009F1172">
        <w:rPr>
          <w:rFonts w:ascii="Times New Roman" w:hAnsi="Times New Roman" w:cs="Times New Roman"/>
          <w:sz w:val="24"/>
          <w:szCs w:val="24"/>
        </w:rPr>
        <w:t xml:space="preserve">and ONC </w:t>
      </w:r>
      <w:r w:rsidR="00C03274" w:rsidRPr="009F1172">
        <w:rPr>
          <w:rFonts w:ascii="Times New Roman" w:hAnsi="Times New Roman" w:cs="Times New Roman"/>
          <w:sz w:val="24"/>
          <w:szCs w:val="24"/>
        </w:rPr>
        <w:t>adopted standard vocabulary for all eRx.</w:t>
      </w:r>
      <w:r w:rsidR="003C7002" w:rsidRPr="009F1172">
        <w:rPr>
          <w:rFonts w:ascii="Times New Roman" w:hAnsi="Times New Roman" w:cs="Times New Roman"/>
          <w:sz w:val="24"/>
          <w:szCs w:val="24"/>
        </w:rPr>
        <w:t xml:space="preserve">  We recommend</w:t>
      </w:r>
      <w:r w:rsidR="0041241F" w:rsidRPr="009F1172">
        <w:rPr>
          <w:rFonts w:ascii="Times New Roman" w:hAnsi="Times New Roman" w:cs="Times New Roman"/>
          <w:sz w:val="24"/>
          <w:szCs w:val="24"/>
        </w:rPr>
        <w:t xml:space="preserve"> that</w:t>
      </w:r>
      <w:r w:rsidR="003C7002" w:rsidRPr="009F1172">
        <w:rPr>
          <w:rFonts w:ascii="Times New Roman" w:hAnsi="Times New Roman" w:cs="Times New Roman"/>
          <w:sz w:val="24"/>
          <w:szCs w:val="24"/>
        </w:rPr>
        <w:t xml:space="preserve"> ONC adopt insurance eligibility checks </w:t>
      </w:r>
      <w:r w:rsidR="00A61EC8" w:rsidRPr="009F1172">
        <w:rPr>
          <w:rFonts w:ascii="Times New Roman" w:hAnsi="Times New Roman" w:cs="Times New Roman"/>
          <w:sz w:val="24"/>
          <w:szCs w:val="24"/>
        </w:rPr>
        <w:t xml:space="preserve">and claims status transactions </w:t>
      </w:r>
      <w:r w:rsidR="003C7002" w:rsidRPr="009F1172">
        <w:rPr>
          <w:rFonts w:ascii="Times New Roman" w:hAnsi="Times New Roman" w:cs="Times New Roman"/>
          <w:sz w:val="24"/>
          <w:szCs w:val="24"/>
        </w:rPr>
        <w:t xml:space="preserve">as a function of EHRs to </w:t>
      </w:r>
      <w:r w:rsidR="00117A49" w:rsidRPr="009F1172">
        <w:rPr>
          <w:rFonts w:ascii="Times New Roman" w:hAnsi="Times New Roman" w:cs="Times New Roman"/>
          <w:sz w:val="24"/>
          <w:szCs w:val="24"/>
        </w:rPr>
        <w:t xml:space="preserve">enable </w:t>
      </w:r>
      <w:r w:rsidR="003C7002" w:rsidRPr="009F1172">
        <w:rPr>
          <w:rFonts w:ascii="Times New Roman" w:hAnsi="Times New Roman" w:cs="Times New Roman"/>
          <w:sz w:val="24"/>
          <w:szCs w:val="24"/>
        </w:rPr>
        <w:t xml:space="preserve">patient specific matching to </w:t>
      </w:r>
      <w:r w:rsidR="00117A49" w:rsidRPr="009F1172">
        <w:rPr>
          <w:rFonts w:ascii="Times New Roman" w:hAnsi="Times New Roman" w:cs="Times New Roman"/>
          <w:sz w:val="24"/>
          <w:szCs w:val="24"/>
        </w:rPr>
        <w:t xml:space="preserve">specific </w:t>
      </w:r>
      <w:r w:rsidR="003C7002" w:rsidRPr="009F1172">
        <w:rPr>
          <w:rFonts w:ascii="Times New Roman" w:hAnsi="Times New Roman" w:cs="Times New Roman"/>
          <w:sz w:val="24"/>
          <w:szCs w:val="24"/>
        </w:rPr>
        <w:t>plan formular</w:t>
      </w:r>
      <w:r w:rsidR="002B1BF1" w:rsidRPr="009F1172">
        <w:rPr>
          <w:rFonts w:ascii="Times New Roman" w:hAnsi="Times New Roman" w:cs="Times New Roman"/>
          <w:sz w:val="24"/>
          <w:szCs w:val="24"/>
        </w:rPr>
        <w:t>ies</w:t>
      </w:r>
      <w:r w:rsidR="003C7002" w:rsidRPr="009F1172">
        <w:rPr>
          <w:rFonts w:ascii="Times New Roman" w:hAnsi="Times New Roman" w:cs="Times New Roman"/>
          <w:sz w:val="24"/>
          <w:szCs w:val="24"/>
        </w:rPr>
        <w:t xml:space="preserve">.  </w:t>
      </w:r>
    </w:p>
    <w:p w:rsidR="00D73C74" w:rsidRPr="009F1172" w:rsidRDefault="00D73C74" w:rsidP="00D73C74">
      <w:pPr>
        <w:pStyle w:val="ListParagraph"/>
        <w:spacing w:after="0" w:line="240" w:lineRule="auto"/>
        <w:rPr>
          <w:rFonts w:ascii="Times New Roman" w:hAnsi="Times New Roman" w:cs="Times New Roman"/>
          <w:sz w:val="24"/>
          <w:szCs w:val="24"/>
        </w:rPr>
      </w:pPr>
    </w:p>
    <w:p w:rsidR="00EE45F2" w:rsidRPr="009F1172" w:rsidRDefault="00EE45F2" w:rsidP="00D73C74">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Laboratory Data</w:t>
      </w:r>
      <w:r w:rsidR="00C03274" w:rsidRPr="009F1172">
        <w:rPr>
          <w:rFonts w:ascii="Times New Roman" w:hAnsi="Times New Roman" w:cs="Times New Roman"/>
          <w:b/>
          <w:sz w:val="24"/>
          <w:szCs w:val="24"/>
        </w:rPr>
        <w:t>:</w:t>
      </w:r>
      <w:r w:rsidR="00C03274" w:rsidRPr="009F1172">
        <w:rPr>
          <w:rFonts w:ascii="Times New Roman" w:hAnsi="Times New Roman" w:cs="Times New Roman"/>
          <w:sz w:val="24"/>
          <w:szCs w:val="24"/>
        </w:rPr>
        <w:t xml:space="preserve"> </w:t>
      </w:r>
      <w:r w:rsidR="00A34808" w:rsidRPr="009F1172">
        <w:rPr>
          <w:rFonts w:ascii="Times New Roman" w:hAnsi="Times New Roman" w:cs="Times New Roman"/>
          <w:sz w:val="24"/>
          <w:szCs w:val="24"/>
        </w:rPr>
        <w:t xml:space="preserve"> </w:t>
      </w:r>
      <w:r w:rsidR="002B1BF1" w:rsidRPr="009F1172">
        <w:rPr>
          <w:rFonts w:ascii="Times New Roman" w:hAnsi="Times New Roman" w:cs="Times New Roman"/>
          <w:sz w:val="24"/>
          <w:szCs w:val="24"/>
        </w:rPr>
        <w:t xml:space="preserve">CMS has proposed including laboratory results “where results are available as structured data”.  </w:t>
      </w:r>
      <w:r w:rsidR="00D73C74" w:rsidRPr="009F1172">
        <w:rPr>
          <w:rFonts w:ascii="Times New Roman" w:hAnsi="Times New Roman" w:cs="Times New Roman"/>
          <w:sz w:val="24"/>
          <w:szCs w:val="24"/>
        </w:rPr>
        <w:t xml:space="preserve">We support moving the measure to a core requirement and raising the </w:t>
      </w:r>
      <w:r w:rsidR="002B1BF1" w:rsidRPr="009F1172">
        <w:rPr>
          <w:rFonts w:ascii="Times New Roman" w:hAnsi="Times New Roman" w:cs="Times New Roman"/>
          <w:sz w:val="24"/>
          <w:szCs w:val="24"/>
        </w:rPr>
        <w:t xml:space="preserve">compliance </w:t>
      </w:r>
      <w:r w:rsidR="00D73C74" w:rsidRPr="009F1172">
        <w:rPr>
          <w:rFonts w:ascii="Times New Roman" w:hAnsi="Times New Roman" w:cs="Times New Roman"/>
          <w:sz w:val="24"/>
          <w:szCs w:val="24"/>
        </w:rPr>
        <w:t>threshold</w:t>
      </w:r>
      <w:r w:rsidR="003404F2" w:rsidRPr="009F1172">
        <w:rPr>
          <w:rFonts w:ascii="Times New Roman" w:hAnsi="Times New Roman" w:cs="Times New Roman"/>
          <w:sz w:val="24"/>
          <w:szCs w:val="24"/>
        </w:rPr>
        <w:t xml:space="preserve"> to 90 percent, considering 2009 baseline measure of use according to the CDC is 95.5 percent</w:t>
      </w:r>
      <w:r w:rsidR="00D73C74" w:rsidRPr="009F1172">
        <w:rPr>
          <w:rFonts w:ascii="Times New Roman" w:hAnsi="Times New Roman" w:cs="Times New Roman"/>
          <w:sz w:val="24"/>
          <w:szCs w:val="24"/>
        </w:rPr>
        <w:t xml:space="preserve">.  A </w:t>
      </w:r>
      <w:r w:rsidR="002B1BF1" w:rsidRPr="009F1172">
        <w:rPr>
          <w:rFonts w:ascii="Times New Roman" w:hAnsi="Times New Roman" w:cs="Times New Roman"/>
          <w:sz w:val="24"/>
          <w:szCs w:val="24"/>
        </w:rPr>
        <w:t>large</w:t>
      </w:r>
      <w:r w:rsidR="00D73C74" w:rsidRPr="009F1172">
        <w:rPr>
          <w:rFonts w:ascii="Times New Roman" w:hAnsi="Times New Roman" w:cs="Times New Roman"/>
          <w:sz w:val="24"/>
          <w:szCs w:val="24"/>
        </w:rPr>
        <w:t xml:space="preserve"> number of clinical lab results are </w:t>
      </w:r>
      <w:r w:rsidR="002B1BF1" w:rsidRPr="009F1172">
        <w:rPr>
          <w:rFonts w:ascii="Times New Roman" w:hAnsi="Times New Roman" w:cs="Times New Roman"/>
          <w:sz w:val="24"/>
          <w:szCs w:val="24"/>
        </w:rPr>
        <w:t>generated by</w:t>
      </w:r>
      <w:r w:rsidR="00D73C74" w:rsidRPr="009F1172">
        <w:rPr>
          <w:rFonts w:ascii="Times New Roman" w:hAnsi="Times New Roman" w:cs="Times New Roman"/>
          <w:sz w:val="24"/>
          <w:szCs w:val="24"/>
        </w:rPr>
        <w:t xml:space="preserve"> hospital</w:t>
      </w:r>
      <w:r w:rsidR="002B1BF1" w:rsidRPr="009F1172">
        <w:rPr>
          <w:rFonts w:ascii="Times New Roman" w:hAnsi="Times New Roman" w:cs="Times New Roman"/>
          <w:sz w:val="24"/>
          <w:szCs w:val="24"/>
        </w:rPr>
        <w:t xml:space="preserve">s using proprietary codes. </w:t>
      </w:r>
      <w:r w:rsidR="00D73C74" w:rsidRPr="009F1172">
        <w:rPr>
          <w:rFonts w:ascii="Times New Roman" w:hAnsi="Times New Roman" w:cs="Times New Roman"/>
          <w:sz w:val="24"/>
          <w:szCs w:val="24"/>
        </w:rPr>
        <w:t xml:space="preserve"> To facilitate the utility of </w:t>
      </w:r>
      <w:r w:rsidR="002B1BF1" w:rsidRPr="009F1172">
        <w:rPr>
          <w:rFonts w:ascii="Times New Roman" w:hAnsi="Times New Roman" w:cs="Times New Roman"/>
          <w:sz w:val="24"/>
          <w:szCs w:val="24"/>
        </w:rPr>
        <w:t>such information</w:t>
      </w:r>
      <w:r w:rsidR="00A61EC8" w:rsidRPr="009F1172">
        <w:rPr>
          <w:rFonts w:ascii="Times New Roman" w:hAnsi="Times New Roman" w:cs="Times New Roman"/>
          <w:sz w:val="24"/>
          <w:szCs w:val="24"/>
        </w:rPr>
        <w:t xml:space="preserve"> and the higher threshold</w:t>
      </w:r>
      <w:r w:rsidR="00D73C74" w:rsidRPr="009F1172">
        <w:rPr>
          <w:rFonts w:ascii="Times New Roman" w:hAnsi="Times New Roman" w:cs="Times New Roman"/>
          <w:sz w:val="24"/>
          <w:szCs w:val="24"/>
        </w:rPr>
        <w:t xml:space="preserve">, we suggest requiring </w:t>
      </w:r>
      <w:r w:rsidR="002B1BF1" w:rsidRPr="009F1172">
        <w:rPr>
          <w:rFonts w:ascii="Times New Roman" w:hAnsi="Times New Roman" w:cs="Times New Roman"/>
          <w:sz w:val="24"/>
          <w:szCs w:val="24"/>
        </w:rPr>
        <w:t xml:space="preserve">that </w:t>
      </w:r>
      <w:r w:rsidR="00D73C74" w:rsidRPr="009F1172">
        <w:rPr>
          <w:rFonts w:ascii="Times New Roman" w:hAnsi="Times New Roman" w:cs="Times New Roman"/>
          <w:sz w:val="24"/>
          <w:szCs w:val="24"/>
        </w:rPr>
        <w:t>lab results be sent in LOINC format</w:t>
      </w:r>
      <w:r w:rsidR="002B1BF1" w:rsidRPr="009F1172">
        <w:rPr>
          <w:rFonts w:ascii="Times New Roman" w:hAnsi="Times New Roman" w:cs="Times New Roman"/>
          <w:sz w:val="24"/>
          <w:szCs w:val="24"/>
        </w:rPr>
        <w:t>.</w:t>
      </w:r>
      <w:r w:rsidR="00D73C74" w:rsidRPr="009F1172">
        <w:rPr>
          <w:rFonts w:ascii="Times New Roman" w:hAnsi="Times New Roman" w:cs="Times New Roman"/>
          <w:sz w:val="24"/>
          <w:szCs w:val="24"/>
        </w:rPr>
        <w:t xml:space="preserve">    </w:t>
      </w:r>
    </w:p>
    <w:p w:rsidR="00D73C74" w:rsidRPr="009F1172" w:rsidRDefault="00D73C74" w:rsidP="00D73C74">
      <w:pPr>
        <w:pStyle w:val="ListParagraph"/>
        <w:rPr>
          <w:rFonts w:ascii="Times New Roman" w:hAnsi="Times New Roman" w:cs="Times New Roman"/>
          <w:sz w:val="24"/>
          <w:szCs w:val="24"/>
        </w:rPr>
      </w:pPr>
    </w:p>
    <w:p w:rsidR="00EE45F2" w:rsidRPr="009F1172" w:rsidRDefault="00EE45F2" w:rsidP="00C03274">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Public Health</w:t>
      </w:r>
      <w:r w:rsidR="00E77B5E" w:rsidRPr="009F1172">
        <w:rPr>
          <w:rFonts w:ascii="Times New Roman" w:hAnsi="Times New Roman" w:cs="Times New Roman"/>
          <w:b/>
          <w:sz w:val="24"/>
          <w:szCs w:val="24"/>
        </w:rPr>
        <w:t>:</w:t>
      </w:r>
      <w:r w:rsidR="00E77B5E" w:rsidRPr="009F1172">
        <w:rPr>
          <w:rFonts w:ascii="Times New Roman" w:hAnsi="Times New Roman" w:cs="Times New Roman"/>
          <w:sz w:val="24"/>
          <w:szCs w:val="24"/>
        </w:rPr>
        <w:t xml:space="preserve"> </w:t>
      </w:r>
      <w:r w:rsidR="00A34808" w:rsidRPr="009F1172">
        <w:rPr>
          <w:rFonts w:ascii="Times New Roman" w:hAnsi="Times New Roman" w:cs="Times New Roman"/>
          <w:sz w:val="24"/>
          <w:szCs w:val="24"/>
        </w:rPr>
        <w:t xml:space="preserve"> </w:t>
      </w:r>
      <w:r w:rsidR="00E77B5E" w:rsidRPr="009F1172">
        <w:rPr>
          <w:rFonts w:ascii="Times New Roman" w:hAnsi="Times New Roman" w:cs="Times New Roman"/>
          <w:sz w:val="24"/>
          <w:szCs w:val="24"/>
        </w:rPr>
        <w:t xml:space="preserve">We support the ongoing submission of reportable public health measures to public health departments (reportable lab results, immunizations and syndromic </w:t>
      </w:r>
      <w:r w:rsidR="0016598F" w:rsidRPr="009F1172">
        <w:rPr>
          <w:rFonts w:ascii="Times New Roman" w:hAnsi="Times New Roman" w:cs="Times New Roman"/>
          <w:sz w:val="24"/>
          <w:szCs w:val="24"/>
        </w:rPr>
        <w:t>surveillance</w:t>
      </w:r>
      <w:r w:rsidR="00E77B5E" w:rsidRPr="009F1172">
        <w:rPr>
          <w:rFonts w:ascii="Times New Roman" w:hAnsi="Times New Roman" w:cs="Times New Roman"/>
          <w:sz w:val="24"/>
          <w:szCs w:val="24"/>
        </w:rPr>
        <w:t>)</w:t>
      </w:r>
      <w:r w:rsidR="00C4785D" w:rsidRPr="009F1172">
        <w:rPr>
          <w:rFonts w:ascii="Times New Roman" w:hAnsi="Times New Roman" w:cs="Times New Roman"/>
          <w:sz w:val="24"/>
          <w:szCs w:val="24"/>
        </w:rPr>
        <w:t xml:space="preserve"> and to HIEs</w:t>
      </w:r>
      <w:r w:rsidR="00E77B5E" w:rsidRPr="009F1172">
        <w:rPr>
          <w:rFonts w:ascii="Times New Roman" w:hAnsi="Times New Roman" w:cs="Times New Roman"/>
          <w:sz w:val="24"/>
          <w:szCs w:val="24"/>
        </w:rPr>
        <w:t xml:space="preserve">, and for making </w:t>
      </w:r>
      <w:r w:rsidR="00791BFA" w:rsidRPr="009F1172">
        <w:rPr>
          <w:rFonts w:ascii="Times New Roman" w:hAnsi="Times New Roman" w:cs="Times New Roman"/>
          <w:sz w:val="24"/>
          <w:szCs w:val="24"/>
        </w:rPr>
        <w:t>such reporting</w:t>
      </w:r>
      <w:r w:rsidR="00E77B5E" w:rsidRPr="009F1172">
        <w:rPr>
          <w:rFonts w:ascii="Times New Roman" w:hAnsi="Times New Roman" w:cs="Times New Roman"/>
          <w:sz w:val="24"/>
          <w:szCs w:val="24"/>
        </w:rPr>
        <w:t xml:space="preserve"> a core requirement in Stage 2.   </w:t>
      </w:r>
      <w:r w:rsidR="003C7002" w:rsidRPr="009F1172">
        <w:rPr>
          <w:rFonts w:ascii="Times New Roman" w:hAnsi="Times New Roman" w:cs="Times New Roman"/>
          <w:sz w:val="24"/>
          <w:szCs w:val="24"/>
        </w:rPr>
        <w:t>To facilitate reporting, w</w:t>
      </w:r>
      <w:r w:rsidR="00E77B5E" w:rsidRPr="009F1172">
        <w:rPr>
          <w:rFonts w:ascii="Times New Roman" w:hAnsi="Times New Roman" w:cs="Times New Roman"/>
          <w:sz w:val="24"/>
          <w:szCs w:val="24"/>
        </w:rPr>
        <w:t xml:space="preserve">e </w:t>
      </w:r>
      <w:r w:rsidR="00791BFA" w:rsidRPr="009F1172">
        <w:rPr>
          <w:rFonts w:ascii="Times New Roman" w:hAnsi="Times New Roman" w:cs="Times New Roman"/>
          <w:sz w:val="24"/>
          <w:szCs w:val="24"/>
        </w:rPr>
        <w:t>support</w:t>
      </w:r>
      <w:r w:rsidR="00E77B5E" w:rsidRPr="009F1172">
        <w:rPr>
          <w:rFonts w:ascii="Times New Roman" w:hAnsi="Times New Roman" w:cs="Times New Roman"/>
          <w:sz w:val="24"/>
          <w:szCs w:val="24"/>
        </w:rPr>
        <w:t xml:space="preserve"> counting </w:t>
      </w:r>
      <w:r w:rsidR="00791BFA" w:rsidRPr="009F1172">
        <w:rPr>
          <w:rFonts w:ascii="Times New Roman" w:hAnsi="Times New Roman" w:cs="Times New Roman"/>
          <w:sz w:val="24"/>
          <w:szCs w:val="24"/>
        </w:rPr>
        <w:t xml:space="preserve">as compliance </w:t>
      </w:r>
      <w:r w:rsidR="00E77B5E" w:rsidRPr="009F1172">
        <w:rPr>
          <w:rFonts w:ascii="Times New Roman" w:hAnsi="Times New Roman" w:cs="Times New Roman"/>
          <w:sz w:val="24"/>
          <w:szCs w:val="24"/>
        </w:rPr>
        <w:t xml:space="preserve">any successful submission using any standard that is backwards compatible to the standards proposed to be adopted by ONC.  </w:t>
      </w:r>
      <w:r w:rsidR="00A37EBA" w:rsidRPr="009F1172">
        <w:rPr>
          <w:rFonts w:ascii="Times New Roman" w:hAnsi="Times New Roman" w:cs="Times New Roman"/>
          <w:sz w:val="24"/>
          <w:szCs w:val="24"/>
        </w:rPr>
        <w:t xml:space="preserve"> There are, however, no standard specifications for the transmission of the reports intended to go to the public health departments and registries, which means the burden of </w:t>
      </w:r>
      <w:r w:rsidR="004B4BCF" w:rsidRPr="009F1172">
        <w:rPr>
          <w:rFonts w:ascii="Times New Roman" w:hAnsi="Times New Roman" w:cs="Times New Roman"/>
          <w:sz w:val="24"/>
          <w:szCs w:val="24"/>
        </w:rPr>
        <w:t>reporting will fall on providers</w:t>
      </w:r>
      <w:r w:rsidR="00A37EBA" w:rsidRPr="009F1172">
        <w:rPr>
          <w:rFonts w:ascii="Times New Roman" w:hAnsi="Times New Roman" w:cs="Times New Roman"/>
          <w:sz w:val="24"/>
          <w:szCs w:val="24"/>
        </w:rPr>
        <w:t xml:space="preserve">.  We recommend that the ONC work with the </w:t>
      </w:r>
      <w:r w:rsidR="004532C8" w:rsidRPr="009F1172">
        <w:rPr>
          <w:rFonts w:ascii="Times New Roman" w:hAnsi="Times New Roman" w:cs="Times New Roman"/>
          <w:sz w:val="24"/>
          <w:szCs w:val="24"/>
        </w:rPr>
        <w:t xml:space="preserve">National Library of Medicine (NLM) </w:t>
      </w:r>
      <w:r w:rsidR="00A37EBA" w:rsidRPr="009F1172">
        <w:rPr>
          <w:rFonts w:ascii="Times New Roman" w:hAnsi="Times New Roman" w:cs="Times New Roman"/>
          <w:sz w:val="24"/>
          <w:szCs w:val="24"/>
        </w:rPr>
        <w:t>and other public health audiences to identify ways to improve the adoption of the implementation guides (content and transmission specifications) by the various registries.</w:t>
      </w:r>
    </w:p>
    <w:p w:rsidR="00E77B5E" w:rsidRPr="009F1172" w:rsidRDefault="00E77B5E" w:rsidP="00E77B5E">
      <w:pPr>
        <w:pStyle w:val="ListParagraph"/>
        <w:spacing w:after="0" w:line="240" w:lineRule="auto"/>
        <w:rPr>
          <w:rFonts w:ascii="Times New Roman" w:hAnsi="Times New Roman" w:cs="Times New Roman"/>
          <w:sz w:val="24"/>
          <w:szCs w:val="24"/>
        </w:rPr>
      </w:pPr>
    </w:p>
    <w:p w:rsidR="00D821C5" w:rsidRPr="009F1172" w:rsidRDefault="00EE45F2" w:rsidP="00D821C5">
      <w:pPr>
        <w:pStyle w:val="ListParagraph"/>
        <w:numPr>
          <w:ilvl w:val="0"/>
          <w:numId w:val="4"/>
        </w:num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Report</w:t>
      </w:r>
      <w:r w:rsidR="00D821C5" w:rsidRPr="009F1172">
        <w:rPr>
          <w:rFonts w:ascii="Times New Roman" w:hAnsi="Times New Roman" w:cs="Times New Roman"/>
          <w:b/>
          <w:sz w:val="24"/>
          <w:szCs w:val="24"/>
        </w:rPr>
        <w:t xml:space="preserve">ing </w:t>
      </w:r>
      <w:r w:rsidRPr="009F1172">
        <w:rPr>
          <w:rFonts w:ascii="Times New Roman" w:hAnsi="Times New Roman" w:cs="Times New Roman"/>
          <w:b/>
          <w:sz w:val="24"/>
          <w:szCs w:val="24"/>
        </w:rPr>
        <w:t xml:space="preserve">to Cancer </w:t>
      </w:r>
      <w:r w:rsidR="00D821C5" w:rsidRPr="009F1172">
        <w:rPr>
          <w:rFonts w:ascii="Times New Roman" w:hAnsi="Times New Roman" w:cs="Times New Roman"/>
          <w:b/>
          <w:sz w:val="24"/>
          <w:szCs w:val="24"/>
        </w:rPr>
        <w:t xml:space="preserve">and Other Registries:  </w:t>
      </w:r>
      <w:r w:rsidR="00D22701" w:rsidRPr="009F1172">
        <w:rPr>
          <w:rFonts w:ascii="Times New Roman" w:hAnsi="Times New Roman" w:cs="Times New Roman"/>
          <w:sz w:val="24"/>
          <w:szCs w:val="24"/>
        </w:rPr>
        <w:t xml:space="preserve">We support these additions </w:t>
      </w:r>
      <w:r w:rsidR="00791BFA" w:rsidRPr="009F1172">
        <w:rPr>
          <w:rFonts w:ascii="Times New Roman" w:hAnsi="Times New Roman" w:cs="Times New Roman"/>
          <w:sz w:val="24"/>
          <w:szCs w:val="24"/>
        </w:rPr>
        <w:t>as</w:t>
      </w:r>
      <w:r w:rsidR="00D22701" w:rsidRPr="009F1172">
        <w:rPr>
          <w:rFonts w:ascii="Times New Roman" w:hAnsi="Times New Roman" w:cs="Times New Roman"/>
          <w:sz w:val="24"/>
          <w:szCs w:val="24"/>
        </w:rPr>
        <w:t xml:space="preserve"> an effective tool to promote patient and population health.  </w:t>
      </w:r>
      <w:r w:rsidR="00791BFA" w:rsidRPr="009F1172">
        <w:rPr>
          <w:rFonts w:ascii="Times New Roman" w:hAnsi="Times New Roman" w:cs="Times New Roman"/>
          <w:sz w:val="24"/>
          <w:szCs w:val="24"/>
        </w:rPr>
        <w:t>T</w:t>
      </w:r>
      <w:r w:rsidR="00D22701" w:rsidRPr="009F1172">
        <w:rPr>
          <w:rFonts w:ascii="Times New Roman" w:hAnsi="Times New Roman" w:cs="Times New Roman"/>
          <w:sz w:val="24"/>
          <w:szCs w:val="24"/>
        </w:rPr>
        <w:t xml:space="preserve">he inclusion of </w:t>
      </w:r>
      <w:r w:rsidR="00791BFA" w:rsidRPr="009F1172">
        <w:rPr>
          <w:rFonts w:ascii="Times New Roman" w:hAnsi="Times New Roman" w:cs="Times New Roman"/>
          <w:sz w:val="24"/>
          <w:szCs w:val="24"/>
        </w:rPr>
        <w:t>more</w:t>
      </w:r>
      <w:r w:rsidR="00D22701" w:rsidRPr="009F1172">
        <w:rPr>
          <w:rFonts w:ascii="Times New Roman" w:hAnsi="Times New Roman" w:cs="Times New Roman"/>
          <w:sz w:val="24"/>
          <w:szCs w:val="24"/>
        </w:rPr>
        <w:t xml:space="preserve"> registries will promote participation of specialty providers</w:t>
      </w:r>
      <w:r w:rsidR="00A61EC8" w:rsidRPr="009F1172">
        <w:rPr>
          <w:rFonts w:ascii="Times New Roman" w:hAnsi="Times New Roman" w:cs="Times New Roman"/>
          <w:sz w:val="24"/>
          <w:szCs w:val="24"/>
        </w:rPr>
        <w:t xml:space="preserve">.  We </w:t>
      </w:r>
      <w:r w:rsidR="00D22701" w:rsidRPr="009F1172">
        <w:rPr>
          <w:rFonts w:ascii="Times New Roman" w:hAnsi="Times New Roman" w:cs="Times New Roman"/>
          <w:sz w:val="24"/>
          <w:szCs w:val="24"/>
        </w:rPr>
        <w:t xml:space="preserve">encourage </w:t>
      </w:r>
      <w:r w:rsidR="003C7002" w:rsidRPr="009F1172">
        <w:rPr>
          <w:rFonts w:ascii="Times New Roman" w:hAnsi="Times New Roman" w:cs="Times New Roman"/>
          <w:sz w:val="24"/>
          <w:szCs w:val="24"/>
        </w:rPr>
        <w:t>CMS</w:t>
      </w:r>
      <w:r w:rsidR="00D22701" w:rsidRPr="009F1172">
        <w:rPr>
          <w:rFonts w:ascii="Times New Roman" w:hAnsi="Times New Roman" w:cs="Times New Roman"/>
          <w:sz w:val="24"/>
          <w:szCs w:val="24"/>
        </w:rPr>
        <w:t xml:space="preserve"> to work with these groups </w:t>
      </w:r>
      <w:r w:rsidR="00791BFA" w:rsidRPr="009F1172">
        <w:rPr>
          <w:rFonts w:ascii="Times New Roman" w:hAnsi="Times New Roman" w:cs="Times New Roman"/>
          <w:sz w:val="24"/>
          <w:szCs w:val="24"/>
        </w:rPr>
        <w:t>in expanding the range of diseases covered</w:t>
      </w:r>
      <w:r w:rsidR="00D22701" w:rsidRPr="009F1172">
        <w:rPr>
          <w:rFonts w:ascii="Times New Roman" w:hAnsi="Times New Roman" w:cs="Times New Roman"/>
          <w:sz w:val="24"/>
          <w:szCs w:val="24"/>
        </w:rPr>
        <w:t xml:space="preserve">.  </w:t>
      </w:r>
      <w:r w:rsidR="00A37EBA" w:rsidRPr="009F1172">
        <w:rPr>
          <w:rFonts w:ascii="Times New Roman" w:hAnsi="Times New Roman" w:cs="Times New Roman"/>
          <w:sz w:val="24"/>
          <w:szCs w:val="24"/>
        </w:rPr>
        <w:t xml:space="preserve">There are, however, no standard specifications for the transmission of the reports intended to go to the public health departments and registries which means the </w:t>
      </w:r>
      <w:r w:rsidR="00FE641F" w:rsidRPr="009F1172">
        <w:rPr>
          <w:rFonts w:ascii="Times New Roman" w:hAnsi="Times New Roman" w:cs="Times New Roman"/>
          <w:sz w:val="24"/>
          <w:szCs w:val="24"/>
        </w:rPr>
        <w:t xml:space="preserve">reporting </w:t>
      </w:r>
      <w:r w:rsidR="00A37EBA" w:rsidRPr="009F1172">
        <w:rPr>
          <w:rFonts w:ascii="Times New Roman" w:hAnsi="Times New Roman" w:cs="Times New Roman"/>
          <w:sz w:val="24"/>
          <w:szCs w:val="24"/>
        </w:rPr>
        <w:t xml:space="preserve">burden </w:t>
      </w:r>
      <w:r w:rsidR="00FE641F" w:rsidRPr="009F1172">
        <w:rPr>
          <w:rFonts w:ascii="Times New Roman" w:hAnsi="Times New Roman" w:cs="Times New Roman"/>
          <w:sz w:val="24"/>
          <w:szCs w:val="24"/>
        </w:rPr>
        <w:t xml:space="preserve">will fall on </w:t>
      </w:r>
      <w:r w:rsidR="00A37EBA" w:rsidRPr="009F1172">
        <w:rPr>
          <w:rFonts w:ascii="Times New Roman" w:hAnsi="Times New Roman" w:cs="Times New Roman"/>
          <w:sz w:val="24"/>
          <w:szCs w:val="24"/>
        </w:rPr>
        <w:t xml:space="preserve">providers.  We recommend that the ONC work with </w:t>
      </w:r>
      <w:r w:rsidR="004532C8" w:rsidRPr="009F1172">
        <w:rPr>
          <w:rFonts w:ascii="Times New Roman" w:hAnsi="Times New Roman" w:cs="Times New Roman"/>
          <w:sz w:val="24"/>
          <w:szCs w:val="24"/>
        </w:rPr>
        <w:t xml:space="preserve">NLM </w:t>
      </w:r>
      <w:r w:rsidR="00A37EBA" w:rsidRPr="009F1172">
        <w:rPr>
          <w:rFonts w:ascii="Times New Roman" w:hAnsi="Times New Roman" w:cs="Times New Roman"/>
          <w:sz w:val="24"/>
          <w:szCs w:val="24"/>
        </w:rPr>
        <w:t>and other public health audiences to identify ways to improve the adoption of the implementation guides (content and transmission specifications) by the various registries.</w:t>
      </w:r>
    </w:p>
    <w:p w:rsidR="00D821C5" w:rsidRPr="009F1172" w:rsidRDefault="00D821C5" w:rsidP="00D821C5">
      <w:pPr>
        <w:pStyle w:val="ListParagraph"/>
        <w:rPr>
          <w:rFonts w:ascii="Times New Roman" w:hAnsi="Times New Roman" w:cs="Times New Roman"/>
          <w:sz w:val="24"/>
          <w:szCs w:val="24"/>
        </w:rPr>
      </w:pPr>
    </w:p>
    <w:p w:rsidR="005514EC" w:rsidRPr="009F1172" w:rsidRDefault="00EE45F2" w:rsidP="005514EC">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Medication Reconciliation</w:t>
      </w:r>
      <w:r w:rsidR="00D73C74" w:rsidRPr="009F1172">
        <w:rPr>
          <w:rFonts w:ascii="Times New Roman" w:hAnsi="Times New Roman" w:cs="Times New Roman"/>
          <w:b/>
          <w:sz w:val="24"/>
          <w:szCs w:val="24"/>
        </w:rPr>
        <w:t>:</w:t>
      </w:r>
      <w:r w:rsidR="00D73C74" w:rsidRPr="009F1172">
        <w:rPr>
          <w:rFonts w:ascii="Times New Roman" w:hAnsi="Times New Roman" w:cs="Times New Roman"/>
          <w:sz w:val="24"/>
          <w:szCs w:val="24"/>
        </w:rPr>
        <w:t xml:space="preserve">  </w:t>
      </w:r>
      <w:r w:rsidR="005514EC" w:rsidRPr="009F1172">
        <w:rPr>
          <w:rFonts w:ascii="Times New Roman" w:hAnsi="Times New Roman" w:cs="Times New Roman"/>
          <w:sz w:val="24"/>
          <w:szCs w:val="24"/>
        </w:rPr>
        <w:t>We support moving this from menu to core and increasing the percentage requirement.   The requirement allows for reconciliation based on patient interviews and not actual patient data</w:t>
      </w:r>
      <w:r w:rsidR="00A37EBA" w:rsidRPr="009F1172">
        <w:rPr>
          <w:rFonts w:ascii="Times New Roman" w:hAnsi="Times New Roman" w:cs="Times New Roman"/>
          <w:sz w:val="24"/>
          <w:szCs w:val="24"/>
        </w:rPr>
        <w:t>, however</w:t>
      </w:r>
      <w:r w:rsidR="005514EC" w:rsidRPr="009F1172">
        <w:rPr>
          <w:rFonts w:ascii="Times New Roman" w:hAnsi="Times New Roman" w:cs="Times New Roman"/>
          <w:sz w:val="24"/>
          <w:szCs w:val="24"/>
        </w:rPr>
        <w:t xml:space="preserve">.  Because patients </w:t>
      </w:r>
      <w:r w:rsidR="00791BFA" w:rsidRPr="009F1172">
        <w:rPr>
          <w:rFonts w:ascii="Times New Roman" w:hAnsi="Times New Roman" w:cs="Times New Roman"/>
          <w:sz w:val="24"/>
          <w:szCs w:val="24"/>
        </w:rPr>
        <w:t xml:space="preserve">often </w:t>
      </w:r>
      <w:r w:rsidR="005514EC" w:rsidRPr="009F1172">
        <w:rPr>
          <w:rFonts w:ascii="Times New Roman" w:hAnsi="Times New Roman" w:cs="Times New Roman"/>
          <w:sz w:val="24"/>
          <w:szCs w:val="24"/>
        </w:rPr>
        <w:t xml:space="preserve">are not the best historians of their medication usage, we suggest the medication reconciliation be performed based on actual drug data and should thus be linked to the summary of care record, eRx and </w:t>
      </w:r>
      <w:r w:rsidR="005514EC" w:rsidRPr="009F1172">
        <w:rPr>
          <w:rFonts w:ascii="Times New Roman" w:hAnsi="Times New Roman" w:cs="Times New Roman"/>
          <w:sz w:val="24"/>
          <w:szCs w:val="24"/>
        </w:rPr>
        <w:lastRenderedPageBreak/>
        <w:t xml:space="preserve">active medication list requirements.  </w:t>
      </w:r>
      <w:r w:rsidR="005514EC" w:rsidRPr="009F1172">
        <w:rPr>
          <w:rFonts w:ascii="Times New Roman" w:hAnsi="Times New Roman" w:cs="Times New Roman"/>
          <w:bCs/>
          <w:sz w:val="24"/>
          <w:szCs w:val="24"/>
        </w:rPr>
        <w:t>Our proposal is particularly important for providers</w:t>
      </w:r>
      <w:r w:rsidR="00791BFA" w:rsidRPr="009F1172">
        <w:rPr>
          <w:rFonts w:ascii="Times New Roman" w:hAnsi="Times New Roman" w:cs="Times New Roman"/>
          <w:bCs/>
          <w:sz w:val="24"/>
          <w:szCs w:val="24"/>
        </w:rPr>
        <w:t xml:space="preserve">, such as </w:t>
      </w:r>
      <w:r w:rsidR="005514EC" w:rsidRPr="009F1172">
        <w:rPr>
          <w:rFonts w:ascii="Times New Roman" w:hAnsi="Times New Roman" w:cs="Times New Roman"/>
          <w:bCs/>
          <w:sz w:val="24"/>
          <w:szCs w:val="24"/>
        </w:rPr>
        <w:t>C</w:t>
      </w:r>
      <w:r w:rsidR="00791BFA" w:rsidRPr="009F1172">
        <w:rPr>
          <w:rFonts w:ascii="Times New Roman" w:hAnsi="Times New Roman" w:cs="Times New Roman"/>
          <w:bCs/>
          <w:sz w:val="24"/>
          <w:szCs w:val="24"/>
        </w:rPr>
        <w:t>ommunity Mental Health Centers, that</w:t>
      </w:r>
      <w:r w:rsidR="005514EC" w:rsidRPr="009F1172">
        <w:rPr>
          <w:rFonts w:ascii="Times New Roman" w:hAnsi="Times New Roman" w:cs="Times New Roman"/>
          <w:bCs/>
          <w:sz w:val="24"/>
          <w:szCs w:val="24"/>
        </w:rPr>
        <w:t xml:space="preserve"> do not participate in the program for statutory reasons.  More than 90% of their caseload</w:t>
      </w:r>
      <w:r w:rsidR="00791BFA" w:rsidRPr="009F1172">
        <w:rPr>
          <w:rFonts w:ascii="Times New Roman" w:hAnsi="Times New Roman" w:cs="Times New Roman"/>
          <w:bCs/>
          <w:sz w:val="24"/>
          <w:szCs w:val="24"/>
        </w:rPr>
        <w:t>s</w:t>
      </w:r>
      <w:r w:rsidR="005514EC" w:rsidRPr="009F1172">
        <w:rPr>
          <w:rFonts w:ascii="Times New Roman" w:hAnsi="Times New Roman" w:cs="Times New Roman"/>
          <w:bCs/>
          <w:sz w:val="24"/>
          <w:szCs w:val="24"/>
        </w:rPr>
        <w:t xml:space="preserve"> </w:t>
      </w:r>
      <w:r w:rsidR="00791BFA" w:rsidRPr="009F1172">
        <w:rPr>
          <w:rFonts w:ascii="Times New Roman" w:hAnsi="Times New Roman" w:cs="Times New Roman"/>
          <w:bCs/>
          <w:sz w:val="24"/>
          <w:szCs w:val="24"/>
        </w:rPr>
        <w:t>consist of</w:t>
      </w:r>
      <w:r w:rsidR="005514EC" w:rsidRPr="009F1172">
        <w:rPr>
          <w:rFonts w:ascii="Times New Roman" w:hAnsi="Times New Roman" w:cs="Times New Roman"/>
          <w:bCs/>
          <w:sz w:val="24"/>
          <w:szCs w:val="24"/>
        </w:rPr>
        <w:t xml:space="preserve"> patients on psychotropic drug regimens (typically composed of four or more products) who are at risk of adverse clinical outcomes </w:t>
      </w:r>
      <w:r w:rsidR="00791BFA" w:rsidRPr="009F1172">
        <w:rPr>
          <w:rFonts w:ascii="Times New Roman" w:hAnsi="Times New Roman" w:cs="Times New Roman"/>
          <w:bCs/>
          <w:sz w:val="24"/>
          <w:szCs w:val="24"/>
        </w:rPr>
        <w:t>when</w:t>
      </w:r>
      <w:r w:rsidR="005514EC" w:rsidRPr="009F1172">
        <w:rPr>
          <w:rFonts w:ascii="Times New Roman" w:hAnsi="Times New Roman" w:cs="Times New Roman"/>
          <w:bCs/>
          <w:sz w:val="24"/>
          <w:szCs w:val="24"/>
        </w:rPr>
        <w:t xml:space="preserve"> medication reconciliation </w:t>
      </w:r>
      <w:r w:rsidR="00791BFA" w:rsidRPr="009F1172">
        <w:rPr>
          <w:rFonts w:ascii="Times New Roman" w:hAnsi="Times New Roman" w:cs="Times New Roman"/>
          <w:bCs/>
          <w:sz w:val="24"/>
          <w:szCs w:val="24"/>
        </w:rPr>
        <w:t>does not actively involve</w:t>
      </w:r>
      <w:r w:rsidR="005514EC" w:rsidRPr="009F1172">
        <w:rPr>
          <w:rFonts w:ascii="Times New Roman" w:hAnsi="Times New Roman" w:cs="Times New Roman"/>
          <w:bCs/>
          <w:sz w:val="24"/>
          <w:szCs w:val="24"/>
        </w:rPr>
        <w:t xml:space="preserve"> primary care doctors and medical specialties.</w:t>
      </w:r>
      <w:r w:rsidR="005514EC" w:rsidRPr="009F1172">
        <w:rPr>
          <w:rFonts w:ascii="Times New Roman" w:hAnsi="Times New Roman" w:cs="Times New Roman"/>
          <w:b/>
          <w:bCs/>
          <w:sz w:val="24"/>
          <w:szCs w:val="24"/>
        </w:rPr>
        <w:t xml:space="preserve">  </w:t>
      </w:r>
    </w:p>
    <w:p w:rsidR="00D22701" w:rsidRPr="009F1172" w:rsidRDefault="00D22701" w:rsidP="005514EC">
      <w:pPr>
        <w:spacing w:after="0" w:line="240" w:lineRule="auto"/>
        <w:ind w:left="360"/>
        <w:rPr>
          <w:rFonts w:ascii="Times New Roman" w:hAnsi="Times New Roman" w:cs="Times New Roman"/>
          <w:sz w:val="24"/>
          <w:szCs w:val="24"/>
        </w:rPr>
      </w:pPr>
    </w:p>
    <w:p w:rsidR="00D22701" w:rsidRPr="009F1172" w:rsidRDefault="00D22701" w:rsidP="00C03274">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Imaging Results:</w:t>
      </w:r>
      <w:r w:rsidRPr="009F1172">
        <w:rPr>
          <w:rFonts w:ascii="Times New Roman" w:hAnsi="Times New Roman" w:cs="Times New Roman"/>
          <w:sz w:val="24"/>
          <w:szCs w:val="24"/>
        </w:rPr>
        <w:t xml:space="preserve">  We support making imaging results available through EHRs and </w:t>
      </w:r>
      <w:r w:rsidR="00A37EBA" w:rsidRPr="009F1172">
        <w:rPr>
          <w:rFonts w:ascii="Times New Roman" w:hAnsi="Times New Roman" w:cs="Times New Roman"/>
          <w:sz w:val="24"/>
          <w:szCs w:val="24"/>
        </w:rPr>
        <w:t xml:space="preserve">requiring that </w:t>
      </w:r>
      <w:r w:rsidR="00791BFA" w:rsidRPr="009F1172">
        <w:rPr>
          <w:rFonts w:ascii="Times New Roman" w:hAnsi="Times New Roman" w:cs="Times New Roman"/>
          <w:sz w:val="24"/>
          <w:szCs w:val="24"/>
        </w:rPr>
        <w:t>they</w:t>
      </w:r>
      <w:r w:rsidRPr="009F1172">
        <w:rPr>
          <w:rFonts w:ascii="Times New Roman" w:hAnsi="Times New Roman" w:cs="Times New Roman"/>
          <w:sz w:val="24"/>
          <w:szCs w:val="24"/>
        </w:rPr>
        <w:t xml:space="preserve"> </w:t>
      </w:r>
      <w:r w:rsidR="00A37EBA" w:rsidRPr="009F1172">
        <w:rPr>
          <w:rFonts w:ascii="Times New Roman" w:hAnsi="Times New Roman" w:cs="Times New Roman"/>
          <w:sz w:val="24"/>
          <w:szCs w:val="24"/>
        </w:rPr>
        <w:t>be</w:t>
      </w:r>
      <w:r w:rsidR="00E01E74" w:rsidRPr="009F1172">
        <w:rPr>
          <w:rFonts w:ascii="Times New Roman" w:hAnsi="Times New Roman" w:cs="Times New Roman"/>
          <w:sz w:val="24"/>
          <w:szCs w:val="24"/>
        </w:rPr>
        <w:t xml:space="preserve"> </w:t>
      </w:r>
      <w:r w:rsidR="00791BFA" w:rsidRPr="009F1172">
        <w:rPr>
          <w:rFonts w:ascii="Times New Roman" w:hAnsi="Times New Roman" w:cs="Times New Roman"/>
          <w:sz w:val="24"/>
          <w:szCs w:val="24"/>
        </w:rPr>
        <w:t>transmitted</w:t>
      </w:r>
      <w:r w:rsidRPr="009F1172">
        <w:rPr>
          <w:rFonts w:ascii="Times New Roman" w:hAnsi="Times New Roman" w:cs="Times New Roman"/>
          <w:sz w:val="24"/>
          <w:szCs w:val="24"/>
        </w:rPr>
        <w:t xml:space="preserve"> through electronic exchange.  The exchange of images is significantly more advanced than other clinical information, so we support adding </w:t>
      </w:r>
      <w:r w:rsidR="00A61EC8" w:rsidRPr="009F1172">
        <w:rPr>
          <w:rFonts w:ascii="Times New Roman" w:hAnsi="Times New Roman" w:cs="Times New Roman"/>
          <w:sz w:val="24"/>
          <w:szCs w:val="24"/>
        </w:rPr>
        <w:t xml:space="preserve">a </w:t>
      </w:r>
      <w:r w:rsidR="00D6787B" w:rsidRPr="009F1172">
        <w:rPr>
          <w:rFonts w:ascii="Times New Roman" w:hAnsi="Times New Roman" w:cs="Times New Roman"/>
          <w:sz w:val="24"/>
          <w:szCs w:val="24"/>
        </w:rPr>
        <w:t xml:space="preserve">requirement that 10 percent of all scans and tests be exchanged electronically.  </w:t>
      </w:r>
    </w:p>
    <w:p w:rsidR="00D6787B" w:rsidRPr="009F1172" w:rsidRDefault="00D6787B" w:rsidP="00D6787B">
      <w:pPr>
        <w:pStyle w:val="ListParagraph"/>
        <w:rPr>
          <w:rFonts w:ascii="Times New Roman" w:hAnsi="Times New Roman" w:cs="Times New Roman"/>
          <w:sz w:val="24"/>
          <w:szCs w:val="24"/>
        </w:rPr>
      </w:pPr>
    </w:p>
    <w:p w:rsidR="00D6787B" w:rsidRPr="009F1172" w:rsidRDefault="00D6787B" w:rsidP="00C03274">
      <w:pPr>
        <w:pStyle w:val="ListParagraph"/>
        <w:numPr>
          <w:ilvl w:val="0"/>
          <w:numId w:val="4"/>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Hospital Medication Orders:</w:t>
      </w:r>
      <w:r w:rsidRPr="009F1172">
        <w:rPr>
          <w:rFonts w:ascii="Times New Roman" w:hAnsi="Times New Roman" w:cs="Times New Roman"/>
          <w:sz w:val="24"/>
          <w:szCs w:val="24"/>
        </w:rPr>
        <w:t xml:space="preserve">  We agree that hospitals should track medications from order to administration using an electronic medication administration record (eMAR).   eMAR has been shown to improve patient safety</w:t>
      </w:r>
      <w:r w:rsidR="005514EC" w:rsidRPr="009F1172">
        <w:rPr>
          <w:rFonts w:ascii="Times New Roman" w:hAnsi="Times New Roman" w:cs="Times New Roman"/>
          <w:sz w:val="24"/>
          <w:szCs w:val="24"/>
        </w:rPr>
        <w:t xml:space="preserve"> and outcomes </w:t>
      </w:r>
      <w:r w:rsidRPr="009F1172">
        <w:rPr>
          <w:rFonts w:ascii="Times New Roman" w:hAnsi="Times New Roman" w:cs="Times New Roman"/>
          <w:sz w:val="24"/>
          <w:szCs w:val="24"/>
        </w:rPr>
        <w:t xml:space="preserve">and </w:t>
      </w:r>
      <w:r w:rsidR="005514EC" w:rsidRPr="009F1172">
        <w:rPr>
          <w:rFonts w:ascii="Times New Roman" w:hAnsi="Times New Roman" w:cs="Times New Roman"/>
          <w:sz w:val="24"/>
          <w:szCs w:val="24"/>
        </w:rPr>
        <w:t xml:space="preserve">to </w:t>
      </w:r>
      <w:r w:rsidRPr="009F1172">
        <w:rPr>
          <w:rFonts w:ascii="Times New Roman" w:hAnsi="Times New Roman" w:cs="Times New Roman"/>
          <w:sz w:val="24"/>
          <w:szCs w:val="24"/>
        </w:rPr>
        <w:t xml:space="preserve">lower costs. </w:t>
      </w:r>
    </w:p>
    <w:p w:rsidR="00EE45F2" w:rsidRPr="009F1172" w:rsidRDefault="00EE45F2" w:rsidP="00EE45F2">
      <w:pPr>
        <w:spacing w:after="0" w:line="240" w:lineRule="auto"/>
        <w:rPr>
          <w:rFonts w:ascii="Times New Roman" w:hAnsi="Times New Roman" w:cs="Times New Roman"/>
          <w:b/>
          <w:sz w:val="24"/>
          <w:szCs w:val="24"/>
        </w:rPr>
      </w:pPr>
    </w:p>
    <w:p w:rsidR="00EE45F2" w:rsidRPr="009F1172" w:rsidRDefault="00EE45F2" w:rsidP="00EE45F2">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V.  Engage Patients and Families in Their Care</w:t>
      </w:r>
    </w:p>
    <w:p w:rsidR="00CA402F" w:rsidRPr="009F1172" w:rsidRDefault="00CA402F" w:rsidP="00EE45F2">
      <w:pPr>
        <w:spacing w:after="0" w:line="240" w:lineRule="auto"/>
        <w:rPr>
          <w:rFonts w:ascii="Times New Roman" w:hAnsi="Times New Roman" w:cs="Times New Roman"/>
          <w:b/>
          <w:sz w:val="24"/>
          <w:szCs w:val="24"/>
        </w:rPr>
      </w:pPr>
    </w:p>
    <w:p w:rsidR="00CA402F" w:rsidRPr="009F1172" w:rsidRDefault="00791BFA" w:rsidP="00CA402F">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A key </w:t>
      </w:r>
      <w:r w:rsidR="00E01E74" w:rsidRPr="009F1172">
        <w:rPr>
          <w:rFonts w:ascii="Times New Roman" w:hAnsi="Times New Roman" w:cs="Times New Roman"/>
          <w:sz w:val="24"/>
          <w:szCs w:val="24"/>
        </w:rPr>
        <w:t>path to better health ca</w:t>
      </w:r>
      <w:r w:rsidR="00A37EBA" w:rsidRPr="009F1172">
        <w:rPr>
          <w:rFonts w:ascii="Times New Roman" w:hAnsi="Times New Roman" w:cs="Times New Roman"/>
          <w:sz w:val="24"/>
          <w:szCs w:val="24"/>
        </w:rPr>
        <w:t>re</w:t>
      </w:r>
      <w:r w:rsidR="00E01E74" w:rsidRPr="009F1172">
        <w:rPr>
          <w:rFonts w:ascii="Times New Roman" w:hAnsi="Times New Roman" w:cs="Times New Roman"/>
          <w:sz w:val="24"/>
          <w:szCs w:val="24"/>
        </w:rPr>
        <w:t xml:space="preserve"> is engaging </w:t>
      </w:r>
      <w:r w:rsidR="00CA402F" w:rsidRPr="009F1172">
        <w:rPr>
          <w:rFonts w:ascii="Times New Roman" w:hAnsi="Times New Roman" w:cs="Times New Roman"/>
          <w:sz w:val="24"/>
          <w:szCs w:val="24"/>
        </w:rPr>
        <w:t xml:space="preserve">patients </w:t>
      </w:r>
      <w:r w:rsidR="00E01E74" w:rsidRPr="009F1172">
        <w:rPr>
          <w:rFonts w:ascii="Times New Roman" w:hAnsi="Times New Roman" w:cs="Times New Roman"/>
          <w:sz w:val="24"/>
          <w:szCs w:val="24"/>
        </w:rPr>
        <w:t>in their care by facilitating electronic access to their information</w:t>
      </w:r>
      <w:r w:rsidR="00CA402F" w:rsidRPr="009F1172">
        <w:rPr>
          <w:rFonts w:ascii="Times New Roman" w:hAnsi="Times New Roman" w:cs="Times New Roman"/>
          <w:sz w:val="24"/>
          <w:szCs w:val="24"/>
        </w:rPr>
        <w:t xml:space="preserve">.   </w:t>
      </w:r>
      <w:r w:rsidR="00E01E74" w:rsidRPr="009F1172">
        <w:rPr>
          <w:rFonts w:ascii="Times New Roman" w:hAnsi="Times New Roman" w:cs="Times New Roman"/>
          <w:sz w:val="24"/>
          <w:szCs w:val="24"/>
        </w:rPr>
        <w:t xml:space="preserve">We support the NPRM measures but </w:t>
      </w:r>
      <w:r w:rsidR="00D53B72" w:rsidRPr="009F1172">
        <w:rPr>
          <w:rFonts w:ascii="Times New Roman" w:hAnsi="Times New Roman" w:cs="Times New Roman"/>
          <w:sz w:val="24"/>
          <w:szCs w:val="24"/>
        </w:rPr>
        <w:t>recommend</w:t>
      </w:r>
      <w:r w:rsidR="00CA402F" w:rsidRPr="009F1172">
        <w:rPr>
          <w:rFonts w:ascii="Times New Roman" w:hAnsi="Times New Roman" w:cs="Times New Roman"/>
          <w:sz w:val="24"/>
          <w:szCs w:val="24"/>
        </w:rPr>
        <w:t xml:space="preserve"> several improvements that would make them more workable </w:t>
      </w:r>
      <w:r w:rsidR="00D53B72" w:rsidRPr="009F1172">
        <w:rPr>
          <w:rFonts w:ascii="Times New Roman" w:hAnsi="Times New Roman" w:cs="Times New Roman"/>
          <w:sz w:val="24"/>
          <w:szCs w:val="24"/>
        </w:rPr>
        <w:t>for both patients and providers:</w:t>
      </w:r>
      <w:r w:rsidR="00CA402F" w:rsidRPr="009F1172">
        <w:rPr>
          <w:rFonts w:ascii="Times New Roman" w:hAnsi="Times New Roman" w:cs="Times New Roman"/>
          <w:sz w:val="24"/>
          <w:szCs w:val="24"/>
        </w:rPr>
        <w:t xml:space="preserve">  </w:t>
      </w:r>
    </w:p>
    <w:p w:rsidR="00CA402F" w:rsidRPr="009F1172" w:rsidRDefault="00CA402F" w:rsidP="00CA402F">
      <w:pPr>
        <w:spacing w:after="0" w:line="240" w:lineRule="auto"/>
        <w:ind w:firstLine="720"/>
        <w:rPr>
          <w:rFonts w:ascii="Times New Roman" w:hAnsi="Times New Roman" w:cs="Times New Roman"/>
          <w:sz w:val="24"/>
          <w:szCs w:val="24"/>
        </w:rPr>
      </w:pPr>
    </w:p>
    <w:p w:rsidR="00F06C3B" w:rsidRPr="009F1172" w:rsidRDefault="00F06C3B" w:rsidP="00F06C3B">
      <w:pPr>
        <w:pStyle w:val="ListParagraph"/>
        <w:numPr>
          <w:ilvl w:val="0"/>
          <w:numId w:val="8"/>
        </w:numPr>
        <w:spacing w:line="240" w:lineRule="auto"/>
        <w:rPr>
          <w:rFonts w:ascii="Times New Roman" w:eastAsia="Times New Roman" w:hAnsi="Times New Roman" w:cs="Times New Roman"/>
          <w:sz w:val="24"/>
          <w:szCs w:val="24"/>
        </w:rPr>
      </w:pPr>
      <w:r w:rsidRPr="009F1172">
        <w:rPr>
          <w:rFonts w:ascii="Times New Roman" w:eastAsia="Times New Roman" w:hAnsi="Times New Roman" w:cs="Times New Roman"/>
          <w:b/>
          <w:bCs/>
          <w:sz w:val="24"/>
          <w:szCs w:val="24"/>
        </w:rPr>
        <w:t xml:space="preserve">View, Download and Transmit: </w:t>
      </w:r>
      <w:r w:rsidRPr="009F1172">
        <w:rPr>
          <w:rFonts w:ascii="Times New Roman" w:eastAsia="Times New Roman" w:hAnsi="Times New Roman" w:cs="Times New Roman"/>
          <w:sz w:val="24"/>
          <w:szCs w:val="24"/>
        </w:rPr>
        <w:t xml:space="preserve"> We support this measure as a core objective because it aligns with IT tools in other sectors, such </w:t>
      </w:r>
      <w:r w:rsidR="003404F2" w:rsidRPr="009F1172">
        <w:rPr>
          <w:rFonts w:ascii="Times New Roman" w:eastAsia="Times New Roman" w:hAnsi="Times New Roman" w:cs="Times New Roman"/>
          <w:sz w:val="24"/>
          <w:szCs w:val="24"/>
        </w:rPr>
        <w:t>as the financial services industry</w:t>
      </w:r>
      <w:r w:rsidRPr="009F1172">
        <w:rPr>
          <w:rFonts w:ascii="Times New Roman" w:eastAsia="Times New Roman" w:hAnsi="Times New Roman" w:cs="Times New Roman"/>
          <w:sz w:val="24"/>
          <w:szCs w:val="24"/>
        </w:rPr>
        <w:t xml:space="preserve">.   </w:t>
      </w:r>
      <w:r w:rsidR="00D53B72" w:rsidRPr="009F1172">
        <w:rPr>
          <w:rFonts w:ascii="Times New Roman" w:eastAsia="Times New Roman" w:hAnsi="Times New Roman" w:cs="Times New Roman"/>
          <w:sz w:val="24"/>
          <w:szCs w:val="24"/>
        </w:rPr>
        <w:t>We are concerned that</w:t>
      </w:r>
      <w:r w:rsidRPr="009F1172">
        <w:rPr>
          <w:rFonts w:ascii="Times New Roman" w:eastAsia="Times New Roman" w:hAnsi="Times New Roman" w:cs="Times New Roman"/>
          <w:sz w:val="24"/>
          <w:szCs w:val="24"/>
        </w:rPr>
        <w:t xml:space="preserve"> portals will not be useful if patients do not know </w:t>
      </w:r>
      <w:r w:rsidR="003404F2" w:rsidRPr="009F1172">
        <w:rPr>
          <w:rFonts w:ascii="Times New Roman" w:eastAsia="Times New Roman" w:hAnsi="Times New Roman" w:cs="Times New Roman"/>
          <w:sz w:val="24"/>
          <w:szCs w:val="24"/>
        </w:rPr>
        <w:t xml:space="preserve">how </w:t>
      </w:r>
      <w:r w:rsidRPr="009F1172">
        <w:rPr>
          <w:rFonts w:ascii="Times New Roman" w:eastAsia="Times New Roman" w:hAnsi="Times New Roman" w:cs="Times New Roman"/>
          <w:sz w:val="24"/>
          <w:szCs w:val="24"/>
        </w:rPr>
        <w:t>to use them</w:t>
      </w:r>
      <w:r w:rsidR="00A37EBA" w:rsidRPr="009F1172">
        <w:rPr>
          <w:rFonts w:ascii="Times New Roman" w:eastAsia="Times New Roman" w:hAnsi="Times New Roman" w:cs="Times New Roman"/>
          <w:sz w:val="24"/>
          <w:szCs w:val="24"/>
        </w:rPr>
        <w:t>, and this could inadvertently penalize providers who deliver care in an area with below average online access</w:t>
      </w:r>
      <w:r w:rsidRPr="009F1172">
        <w:rPr>
          <w:rFonts w:ascii="Times New Roman" w:eastAsia="Times New Roman" w:hAnsi="Times New Roman" w:cs="Times New Roman"/>
          <w:sz w:val="24"/>
          <w:szCs w:val="24"/>
        </w:rPr>
        <w:t>.  To this end</w:t>
      </w:r>
      <w:r w:rsidR="00A37EBA" w:rsidRPr="009F1172">
        <w:rPr>
          <w:rFonts w:ascii="Times New Roman" w:eastAsia="Times New Roman" w:hAnsi="Times New Roman" w:cs="Times New Roman"/>
          <w:sz w:val="24"/>
          <w:szCs w:val="24"/>
        </w:rPr>
        <w:t>,</w:t>
      </w:r>
      <w:r w:rsidRPr="009F1172">
        <w:rPr>
          <w:rFonts w:ascii="Times New Roman" w:eastAsia="Times New Roman" w:hAnsi="Times New Roman" w:cs="Times New Roman"/>
          <w:sz w:val="24"/>
          <w:szCs w:val="24"/>
        </w:rPr>
        <w:t xml:space="preserve"> we believe that the number of patients that register to use the portal should be the threshold for EPs and EHs on this measure.  This approach will not only increase patient access to data but will </w:t>
      </w:r>
      <w:r w:rsidR="00A37EBA" w:rsidRPr="009F1172">
        <w:rPr>
          <w:rFonts w:ascii="Times New Roman" w:eastAsia="Times New Roman" w:hAnsi="Times New Roman" w:cs="Times New Roman"/>
          <w:sz w:val="24"/>
          <w:szCs w:val="24"/>
        </w:rPr>
        <w:t xml:space="preserve">incite </w:t>
      </w:r>
      <w:r w:rsidRPr="009F1172">
        <w:rPr>
          <w:rFonts w:ascii="Times New Roman" w:eastAsia="Times New Roman" w:hAnsi="Times New Roman" w:cs="Times New Roman"/>
          <w:sz w:val="24"/>
          <w:szCs w:val="24"/>
        </w:rPr>
        <w:t>providers to promote patient engagement in their care.</w:t>
      </w:r>
    </w:p>
    <w:p w:rsidR="00D6787B" w:rsidRPr="009F1172" w:rsidRDefault="00D6787B" w:rsidP="00D6787B">
      <w:pPr>
        <w:pStyle w:val="ListParagraph"/>
        <w:spacing w:after="0" w:line="240" w:lineRule="auto"/>
        <w:rPr>
          <w:rFonts w:ascii="Times New Roman" w:hAnsi="Times New Roman" w:cs="Times New Roman"/>
          <w:b/>
          <w:sz w:val="24"/>
          <w:szCs w:val="24"/>
        </w:rPr>
      </w:pPr>
    </w:p>
    <w:p w:rsidR="00EE45F2" w:rsidRPr="009F1172" w:rsidRDefault="00EE45F2" w:rsidP="00CA402F">
      <w:pPr>
        <w:pStyle w:val="ListParagraph"/>
        <w:numPr>
          <w:ilvl w:val="0"/>
          <w:numId w:val="8"/>
        </w:num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Secure Messaging</w:t>
      </w:r>
      <w:r w:rsidR="00F91C94" w:rsidRPr="009F1172">
        <w:rPr>
          <w:rFonts w:ascii="Times New Roman" w:hAnsi="Times New Roman" w:cs="Times New Roman"/>
          <w:b/>
          <w:sz w:val="24"/>
          <w:szCs w:val="24"/>
        </w:rPr>
        <w:t xml:space="preserve">:  </w:t>
      </w:r>
      <w:r w:rsidR="00D6787B" w:rsidRPr="009F1172">
        <w:rPr>
          <w:rFonts w:ascii="Times New Roman" w:hAnsi="Times New Roman" w:cs="Times New Roman"/>
          <w:sz w:val="24"/>
          <w:szCs w:val="24"/>
        </w:rPr>
        <w:t xml:space="preserve">We support including </w:t>
      </w:r>
      <w:r w:rsidR="00D53B72" w:rsidRPr="009F1172">
        <w:rPr>
          <w:rFonts w:ascii="Times New Roman" w:hAnsi="Times New Roman" w:cs="Times New Roman"/>
          <w:sz w:val="24"/>
          <w:szCs w:val="24"/>
        </w:rPr>
        <w:t>secure messaging</w:t>
      </w:r>
      <w:r w:rsidR="00D6787B" w:rsidRPr="009F1172">
        <w:rPr>
          <w:rFonts w:ascii="Times New Roman" w:hAnsi="Times New Roman" w:cs="Times New Roman"/>
          <w:sz w:val="24"/>
          <w:szCs w:val="24"/>
        </w:rPr>
        <w:t xml:space="preserve"> as a core objective in 2014.  Messaging is inexpensive and will foster better communication</w:t>
      </w:r>
      <w:r w:rsidR="00373505" w:rsidRPr="009F1172">
        <w:rPr>
          <w:rFonts w:ascii="Times New Roman" w:hAnsi="Times New Roman" w:cs="Times New Roman"/>
          <w:sz w:val="24"/>
          <w:szCs w:val="24"/>
        </w:rPr>
        <w:t>, access</w:t>
      </w:r>
      <w:r w:rsidR="00D6787B" w:rsidRPr="009F1172">
        <w:rPr>
          <w:rFonts w:ascii="Times New Roman" w:hAnsi="Times New Roman" w:cs="Times New Roman"/>
          <w:sz w:val="24"/>
          <w:szCs w:val="24"/>
        </w:rPr>
        <w:t xml:space="preserve"> and coordination between providers and patients.  </w:t>
      </w:r>
      <w:r w:rsidR="00FC30D6" w:rsidRPr="009F1172">
        <w:rPr>
          <w:rFonts w:ascii="Times New Roman" w:hAnsi="Times New Roman" w:cs="Times New Roman"/>
          <w:sz w:val="24"/>
          <w:szCs w:val="24"/>
        </w:rPr>
        <w:t xml:space="preserve">However, we </w:t>
      </w:r>
      <w:r w:rsidR="00FC30D6" w:rsidRPr="009F1172">
        <w:rPr>
          <w:rFonts w:ascii="Times New Roman" w:hAnsi="Times New Roman" w:cs="Times New Roman"/>
          <w:color w:val="000000" w:themeColor="text1"/>
          <w:sz w:val="24"/>
          <w:szCs w:val="24"/>
        </w:rPr>
        <w:t>suggest that it is not necessary to count the number of messages from patients but rather focus more on the providers’ behavior.  An alternative approach would be to instead require that the EP and his/her staff send a message to at least 25% of patients (a higher threshold than the original because it’s controllable by the EP) or measure the percent of patient messages that an EP or staff respond to with a high associated threshold.</w:t>
      </w:r>
      <w:r w:rsidR="00FC30D6" w:rsidRPr="009F1172">
        <w:rPr>
          <w:rFonts w:cstheme="minorHAnsi"/>
          <w:color w:val="000000" w:themeColor="text1"/>
        </w:rPr>
        <w:t xml:space="preserve">   </w:t>
      </w:r>
      <w:r w:rsidR="00D53B72" w:rsidRPr="009F1172">
        <w:rPr>
          <w:rFonts w:ascii="Times New Roman" w:hAnsi="Times New Roman" w:cs="Times New Roman"/>
          <w:sz w:val="24"/>
          <w:szCs w:val="24"/>
        </w:rPr>
        <w:t>To facilitate communication, t</w:t>
      </w:r>
      <w:r w:rsidR="00D6787B" w:rsidRPr="009F1172">
        <w:rPr>
          <w:rFonts w:ascii="Times New Roman" w:hAnsi="Times New Roman" w:cs="Times New Roman"/>
          <w:sz w:val="24"/>
          <w:szCs w:val="24"/>
        </w:rPr>
        <w:t xml:space="preserve">he response to the patient should be in the same form </w:t>
      </w:r>
      <w:r w:rsidR="00D53B72" w:rsidRPr="009F1172">
        <w:rPr>
          <w:rFonts w:ascii="Times New Roman" w:hAnsi="Times New Roman" w:cs="Times New Roman"/>
          <w:sz w:val="24"/>
          <w:szCs w:val="24"/>
        </w:rPr>
        <w:t>as the message from the patient</w:t>
      </w:r>
      <w:r w:rsidR="00D6787B" w:rsidRPr="009F1172">
        <w:rPr>
          <w:rFonts w:ascii="Times New Roman" w:hAnsi="Times New Roman" w:cs="Times New Roman"/>
          <w:sz w:val="24"/>
          <w:szCs w:val="24"/>
        </w:rPr>
        <w:t>.</w:t>
      </w:r>
      <w:r w:rsidR="00FC30D6" w:rsidRPr="009F1172">
        <w:rPr>
          <w:rFonts w:ascii="Times New Roman" w:hAnsi="Times New Roman" w:cs="Times New Roman"/>
          <w:sz w:val="24"/>
          <w:szCs w:val="24"/>
        </w:rPr>
        <w:t xml:space="preserve"> </w:t>
      </w:r>
    </w:p>
    <w:p w:rsidR="00D6787B" w:rsidRPr="009F1172" w:rsidRDefault="00D6787B" w:rsidP="00D6787B">
      <w:pPr>
        <w:pStyle w:val="ListParagraph"/>
        <w:spacing w:after="0" w:line="240" w:lineRule="auto"/>
        <w:rPr>
          <w:rFonts w:ascii="Times New Roman" w:hAnsi="Times New Roman" w:cs="Times New Roman"/>
          <w:sz w:val="24"/>
          <w:szCs w:val="24"/>
        </w:rPr>
      </w:pPr>
    </w:p>
    <w:p w:rsidR="00F52322" w:rsidRPr="009F1172" w:rsidRDefault="00CA402F" w:rsidP="00F52322">
      <w:pPr>
        <w:pStyle w:val="ListParagraph"/>
        <w:numPr>
          <w:ilvl w:val="0"/>
          <w:numId w:val="8"/>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 xml:space="preserve">Clinical Summaries: </w:t>
      </w:r>
      <w:r w:rsidRPr="009F1172">
        <w:rPr>
          <w:rFonts w:ascii="Times New Roman" w:hAnsi="Times New Roman" w:cs="Times New Roman"/>
          <w:sz w:val="24"/>
          <w:szCs w:val="24"/>
        </w:rPr>
        <w:t xml:space="preserve">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proposes to require EPs, EHs and CAHs to provide clinical summaries to patients within 24 hours for more than 50 percent of office visits.  </w:t>
      </w:r>
      <w:r w:rsidR="00F52322" w:rsidRPr="009F1172">
        <w:rPr>
          <w:rFonts w:ascii="Times New Roman" w:hAnsi="Times New Roman" w:cs="Times New Roman"/>
          <w:sz w:val="24"/>
          <w:szCs w:val="24"/>
        </w:rPr>
        <w:t>We believe 36 hours is a</w:t>
      </w:r>
      <w:r w:rsidR="00D53B72" w:rsidRPr="009F1172">
        <w:rPr>
          <w:rFonts w:ascii="Times New Roman" w:hAnsi="Times New Roman" w:cs="Times New Roman"/>
          <w:sz w:val="24"/>
          <w:szCs w:val="24"/>
        </w:rPr>
        <w:t xml:space="preserve"> more</w:t>
      </w:r>
      <w:r w:rsidR="00F52322" w:rsidRPr="009F1172">
        <w:rPr>
          <w:rFonts w:ascii="Times New Roman" w:hAnsi="Times New Roman" w:cs="Times New Roman"/>
          <w:sz w:val="24"/>
          <w:szCs w:val="24"/>
        </w:rPr>
        <w:t xml:space="preserve"> appropriate length of time</w:t>
      </w:r>
      <w:r w:rsidR="00D53B72" w:rsidRPr="009F1172">
        <w:rPr>
          <w:rFonts w:ascii="Times New Roman" w:hAnsi="Times New Roman" w:cs="Times New Roman"/>
          <w:sz w:val="24"/>
          <w:szCs w:val="24"/>
        </w:rPr>
        <w:t>.  This would</w:t>
      </w:r>
      <w:r w:rsidR="00C1151D" w:rsidRPr="009F1172">
        <w:rPr>
          <w:rFonts w:ascii="Times New Roman" w:hAnsi="Times New Roman" w:cs="Times New Roman"/>
          <w:sz w:val="24"/>
          <w:szCs w:val="24"/>
        </w:rPr>
        <w:t xml:space="preserve"> </w:t>
      </w:r>
      <w:r w:rsidR="00F52322" w:rsidRPr="009F1172">
        <w:rPr>
          <w:rFonts w:ascii="Times New Roman" w:hAnsi="Times New Roman" w:cs="Times New Roman"/>
          <w:sz w:val="24"/>
          <w:szCs w:val="24"/>
        </w:rPr>
        <w:t xml:space="preserve">allow for clinical notes to be added to the record based on a patient encounter.  </w:t>
      </w:r>
    </w:p>
    <w:p w:rsidR="00D6787B" w:rsidRPr="009F1172" w:rsidRDefault="00D6787B" w:rsidP="00D6787B">
      <w:pPr>
        <w:pStyle w:val="ListParagraph"/>
        <w:spacing w:after="0" w:line="240" w:lineRule="auto"/>
        <w:rPr>
          <w:rFonts w:ascii="Times New Roman" w:hAnsi="Times New Roman" w:cs="Times New Roman"/>
          <w:sz w:val="24"/>
          <w:szCs w:val="24"/>
        </w:rPr>
      </w:pPr>
    </w:p>
    <w:p w:rsidR="00EE45F2" w:rsidRPr="009F1172" w:rsidRDefault="00EE45F2" w:rsidP="00F52322">
      <w:pPr>
        <w:pStyle w:val="ListParagraph"/>
        <w:numPr>
          <w:ilvl w:val="0"/>
          <w:numId w:val="8"/>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lastRenderedPageBreak/>
        <w:t>Patient Reminders</w:t>
      </w:r>
      <w:r w:rsidR="00F52322" w:rsidRPr="009F1172">
        <w:rPr>
          <w:rFonts w:ascii="Times New Roman" w:hAnsi="Times New Roman" w:cs="Times New Roman"/>
          <w:b/>
          <w:sz w:val="24"/>
          <w:szCs w:val="24"/>
        </w:rPr>
        <w:t>:</w:t>
      </w:r>
      <w:r w:rsidR="00F52322" w:rsidRPr="009F1172">
        <w:rPr>
          <w:rFonts w:ascii="Times New Roman" w:hAnsi="Times New Roman" w:cs="Times New Roman"/>
          <w:sz w:val="24"/>
          <w:szCs w:val="24"/>
        </w:rPr>
        <w:t xml:space="preserve"> </w:t>
      </w:r>
      <w:r w:rsidR="00A34808" w:rsidRPr="009F1172">
        <w:rPr>
          <w:rFonts w:ascii="Times New Roman" w:hAnsi="Times New Roman" w:cs="Times New Roman"/>
          <w:sz w:val="24"/>
          <w:szCs w:val="24"/>
        </w:rPr>
        <w:t xml:space="preserve"> </w:t>
      </w:r>
      <w:r w:rsidR="00F52322" w:rsidRPr="009F1172">
        <w:rPr>
          <w:rFonts w:ascii="Times New Roman" w:hAnsi="Times New Roman" w:cs="Times New Roman"/>
          <w:sz w:val="24"/>
          <w:szCs w:val="24"/>
        </w:rPr>
        <w:t xml:space="preserve">We support </w:t>
      </w:r>
      <w:r w:rsidR="00D53B72" w:rsidRPr="009F1172">
        <w:rPr>
          <w:rFonts w:ascii="Times New Roman" w:hAnsi="Times New Roman" w:cs="Times New Roman"/>
          <w:sz w:val="24"/>
          <w:szCs w:val="24"/>
        </w:rPr>
        <w:t>making patient reminders</w:t>
      </w:r>
      <w:r w:rsidR="00F52322" w:rsidRPr="009F1172">
        <w:rPr>
          <w:rFonts w:ascii="Times New Roman" w:hAnsi="Times New Roman" w:cs="Times New Roman"/>
          <w:sz w:val="24"/>
          <w:szCs w:val="24"/>
        </w:rPr>
        <w:t xml:space="preserve"> a core requirement for Stage 2.  We also support </w:t>
      </w:r>
      <w:r w:rsidR="00D53B72" w:rsidRPr="009F1172">
        <w:rPr>
          <w:rFonts w:ascii="Times New Roman" w:hAnsi="Times New Roman" w:cs="Times New Roman"/>
          <w:sz w:val="24"/>
          <w:szCs w:val="24"/>
        </w:rPr>
        <w:t>raising</w:t>
      </w:r>
      <w:r w:rsidR="00F52322" w:rsidRPr="009F1172">
        <w:rPr>
          <w:rFonts w:ascii="Times New Roman" w:hAnsi="Times New Roman" w:cs="Times New Roman"/>
          <w:sz w:val="24"/>
          <w:szCs w:val="24"/>
        </w:rPr>
        <w:t xml:space="preserve"> the </w:t>
      </w:r>
      <w:r w:rsidR="00D53B72" w:rsidRPr="009F1172">
        <w:rPr>
          <w:rFonts w:ascii="Times New Roman" w:hAnsi="Times New Roman" w:cs="Times New Roman"/>
          <w:sz w:val="24"/>
          <w:szCs w:val="24"/>
        </w:rPr>
        <w:t>compliance threshold above</w:t>
      </w:r>
      <w:r w:rsidR="00F52322" w:rsidRPr="009F1172">
        <w:rPr>
          <w:rFonts w:ascii="Times New Roman" w:hAnsi="Times New Roman" w:cs="Times New Roman"/>
          <w:sz w:val="24"/>
          <w:szCs w:val="24"/>
        </w:rPr>
        <w:t xml:space="preserve"> 50 percent.  </w:t>
      </w:r>
      <w:r w:rsidR="003C7002" w:rsidRPr="009F1172">
        <w:rPr>
          <w:rFonts w:ascii="Times New Roman" w:hAnsi="Times New Roman" w:cs="Times New Roman"/>
          <w:sz w:val="24"/>
          <w:szCs w:val="24"/>
        </w:rPr>
        <w:t>CMS</w:t>
      </w:r>
      <w:r w:rsidR="00F52322" w:rsidRPr="009F1172">
        <w:rPr>
          <w:rFonts w:ascii="Times New Roman" w:hAnsi="Times New Roman" w:cs="Times New Roman"/>
          <w:sz w:val="24"/>
          <w:szCs w:val="24"/>
        </w:rPr>
        <w:t xml:space="preserve"> should consider standards that denote in a record when the provider responsibility of patient reminders has been transitioned to another provider and allow the transitioning provider to be excluded from the measure.  </w:t>
      </w:r>
    </w:p>
    <w:p w:rsidR="00D6787B" w:rsidRPr="009F1172" w:rsidRDefault="00D6787B" w:rsidP="00D6787B">
      <w:pPr>
        <w:pStyle w:val="ListParagraph"/>
        <w:spacing w:after="0" w:line="240" w:lineRule="auto"/>
        <w:rPr>
          <w:rFonts w:ascii="Times New Roman" w:hAnsi="Times New Roman" w:cs="Times New Roman"/>
          <w:sz w:val="24"/>
          <w:szCs w:val="24"/>
        </w:rPr>
      </w:pPr>
    </w:p>
    <w:p w:rsidR="00EE45F2" w:rsidRPr="009F1172" w:rsidRDefault="00EE45F2" w:rsidP="00D22701">
      <w:pPr>
        <w:pStyle w:val="ListParagraph"/>
        <w:numPr>
          <w:ilvl w:val="0"/>
          <w:numId w:val="8"/>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Patient Education Resources</w:t>
      </w:r>
      <w:r w:rsidR="00F91C94" w:rsidRPr="009F1172">
        <w:rPr>
          <w:rFonts w:ascii="Times New Roman" w:hAnsi="Times New Roman" w:cs="Times New Roman"/>
          <w:b/>
          <w:sz w:val="24"/>
          <w:szCs w:val="24"/>
        </w:rPr>
        <w:t>:</w:t>
      </w:r>
      <w:r w:rsidR="00F91C94" w:rsidRPr="009F1172">
        <w:rPr>
          <w:rFonts w:ascii="Times New Roman" w:hAnsi="Times New Roman" w:cs="Times New Roman"/>
          <w:sz w:val="24"/>
          <w:szCs w:val="24"/>
        </w:rPr>
        <w:t xml:space="preserve"> </w:t>
      </w:r>
      <w:r w:rsidR="00A34808" w:rsidRPr="009F1172">
        <w:rPr>
          <w:rFonts w:ascii="Times New Roman" w:hAnsi="Times New Roman" w:cs="Times New Roman"/>
          <w:sz w:val="24"/>
          <w:szCs w:val="24"/>
        </w:rPr>
        <w:t xml:space="preserve"> </w:t>
      </w:r>
      <w:r w:rsidR="00F91C94" w:rsidRPr="009F1172">
        <w:rPr>
          <w:rFonts w:ascii="Times New Roman" w:hAnsi="Times New Roman" w:cs="Times New Roman"/>
          <w:sz w:val="24"/>
          <w:szCs w:val="24"/>
        </w:rPr>
        <w:t>We support providing educational resources</w:t>
      </w:r>
      <w:r w:rsidR="00AE24F3" w:rsidRPr="009F1172">
        <w:rPr>
          <w:rFonts w:ascii="Times New Roman" w:hAnsi="Times New Roman" w:cs="Times New Roman"/>
          <w:sz w:val="24"/>
          <w:szCs w:val="24"/>
        </w:rPr>
        <w:t xml:space="preserve"> to patients</w:t>
      </w:r>
      <w:r w:rsidR="00F91C94" w:rsidRPr="009F1172">
        <w:rPr>
          <w:rFonts w:ascii="Times New Roman" w:hAnsi="Times New Roman" w:cs="Times New Roman"/>
          <w:sz w:val="24"/>
          <w:szCs w:val="24"/>
        </w:rPr>
        <w:t xml:space="preserve">, and encourage </w:t>
      </w:r>
      <w:r w:rsidR="003C7002" w:rsidRPr="009F1172">
        <w:rPr>
          <w:rFonts w:ascii="Times New Roman" w:hAnsi="Times New Roman" w:cs="Times New Roman"/>
          <w:sz w:val="24"/>
          <w:szCs w:val="24"/>
        </w:rPr>
        <w:t>CMS</w:t>
      </w:r>
      <w:r w:rsidR="00F91C94" w:rsidRPr="009F1172">
        <w:rPr>
          <w:rFonts w:ascii="Times New Roman" w:hAnsi="Times New Roman" w:cs="Times New Roman"/>
          <w:sz w:val="24"/>
          <w:szCs w:val="24"/>
        </w:rPr>
        <w:t xml:space="preserve"> to also require </w:t>
      </w:r>
      <w:r w:rsidR="00D22701" w:rsidRPr="009F1172">
        <w:rPr>
          <w:rFonts w:ascii="Times New Roman" w:hAnsi="Times New Roman" w:cs="Times New Roman"/>
          <w:sz w:val="24"/>
          <w:szCs w:val="24"/>
        </w:rPr>
        <w:t xml:space="preserve">the inclusion of relevant clinical trial opportunities.  </w:t>
      </w:r>
    </w:p>
    <w:p w:rsidR="000F32E4" w:rsidRPr="009F1172" w:rsidRDefault="000F32E4" w:rsidP="00AD0CCB">
      <w:pPr>
        <w:spacing w:after="0" w:line="240" w:lineRule="auto"/>
        <w:rPr>
          <w:rFonts w:ascii="Times New Roman" w:hAnsi="Times New Roman" w:cs="Times New Roman"/>
          <w:sz w:val="24"/>
          <w:szCs w:val="24"/>
        </w:rPr>
      </w:pPr>
    </w:p>
    <w:p w:rsidR="000F32E4" w:rsidRPr="009F1172" w:rsidRDefault="000F32E4" w:rsidP="00D22701">
      <w:pPr>
        <w:pStyle w:val="ListParagraph"/>
        <w:numPr>
          <w:ilvl w:val="0"/>
          <w:numId w:val="8"/>
        </w:numPr>
        <w:spacing w:after="0" w:line="240" w:lineRule="auto"/>
        <w:rPr>
          <w:rFonts w:ascii="Times New Roman" w:hAnsi="Times New Roman" w:cs="Times New Roman"/>
          <w:sz w:val="24"/>
          <w:szCs w:val="24"/>
        </w:rPr>
      </w:pPr>
      <w:r w:rsidRPr="009F1172">
        <w:rPr>
          <w:rFonts w:ascii="Times New Roman" w:hAnsi="Times New Roman" w:cs="Times New Roman"/>
          <w:b/>
          <w:sz w:val="24"/>
          <w:szCs w:val="24"/>
        </w:rPr>
        <w:t>Family Health History:</w:t>
      </w:r>
      <w:r w:rsidRPr="009F1172">
        <w:rPr>
          <w:rFonts w:ascii="Times New Roman" w:hAnsi="Times New Roman" w:cs="Times New Roman"/>
          <w:sz w:val="24"/>
          <w:szCs w:val="24"/>
        </w:rPr>
        <w:t xml:space="preserve">  We strongly support the inclusion of Family Health History as structured data into patient records.  Recording a family history is a low cost and highly effective diagnostic test to determine a patient’s risk factors for inherited conditions</w:t>
      </w:r>
      <w:r w:rsidR="00AD0CCB" w:rsidRPr="009F1172">
        <w:rPr>
          <w:rFonts w:ascii="Times New Roman" w:hAnsi="Times New Roman" w:cs="Times New Roman"/>
          <w:sz w:val="24"/>
          <w:szCs w:val="24"/>
        </w:rPr>
        <w:t xml:space="preserve"> and </w:t>
      </w:r>
      <w:r w:rsidRPr="009F1172">
        <w:rPr>
          <w:rFonts w:ascii="Times New Roman" w:hAnsi="Times New Roman" w:cs="Times New Roman"/>
          <w:sz w:val="24"/>
          <w:szCs w:val="24"/>
        </w:rPr>
        <w:t>inform clinical decision-making</w:t>
      </w:r>
      <w:r w:rsidR="00AD0CCB" w:rsidRPr="009F1172">
        <w:rPr>
          <w:rFonts w:ascii="Times New Roman" w:hAnsi="Times New Roman" w:cs="Times New Roman"/>
          <w:sz w:val="24"/>
          <w:szCs w:val="24"/>
        </w:rPr>
        <w:t xml:space="preserve">.  </w:t>
      </w:r>
      <w:r w:rsidRPr="009F1172">
        <w:rPr>
          <w:rFonts w:ascii="Times New Roman" w:hAnsi="Times New Roman" w:cs="Times New Roman"/>
          <w:sz w:val="24"/>
          <w:szCs w:val="24"/>
        </w:rPr>
        <w:t xml:space="preserve"> </w:t>
      </w:r>
      <w:r w:rsidR="00AD0CCB" w:rsidRPr="009F1172">
        <w:rPr>
          <w:rFonts w:ascii="Times New Roman" w:hAnsi="Times New Roman" w:cs="Times New Roman"/>
          <w:sz w:val="24"/>
          <w:szCs w:val="24"/>
        </w:rPr>
        <w:t xml:space="preserve">It is </w:t>
      </w:r>
      <w:r w:rsidRPr="009F1172">
        <w:rPr>
          <w:rFonts w:ascii="Times New Roman" w:hAnsi="Times New Roman" w:cs="Times New Roman"/>
          <w:sz w:val="24"/>
          <w:szCs w:val="24"/>
        </w:rPr>
        <w:t xml:space="preserve">an effective mechanism for getting patients engaged in their health.  </w:t>
      </w:r>
      <w:r w:rsidR="00CE4833" w:rsidRPr="009F1172">
        <w:rPr>
          <w:rFonts w:ascii="Times New Roman" w:hAnsi="Times New Roman" w:cs="Times New Roman"/>
          <w:sz w:val="24"/>
          <w:szCs w:val="24"/>
        </w:rPr>
        <w:t xml:space="preserve">CMS </w:t>
      </w:r>
      <w:r w:rsidR="00AD0CCB" w:rsidRPr="009F1172">
        <w:rPr>
          <w:rFonts w:ascii="Times New Roman" w:hAnsi="Times New Roman" w:cs="Times New Roman"/>
          <w:sz w:val="24"/>
          <w:szCs w:val="24"/>
        </w:rPr>
        <w:t xml:space="preserve">should </w:t>
      </w:r>
      <w:r w:rsidR="00CE4833" w:rsidRPr="009F1172">
        <w:rPr>
          <w:rFonts w:ascii="Times New Roman" w:hAnsi="Times New Roman" w:cs="Times New Roman"/>
          <w:sz w:val="24"/>
          <w:szCs w:val="24"/>
        </w:rPr>
        <w:t xml:space="preserve">constrain this requirement </w:t>
      </w:r>
      <w:r w:rsidR="003B7DB7" w:rsidRPr="009F1172">
        <w:rPr>
          <w:rFonts w:ascii="Times New Roman" w:hAnsi="Times New Roman" w:cs="Times New Roman"/>
          <w:sz w:val="24"/>
          <w:szCs w:val="24"/>
        </w:rPr>
        <w:t>to</w:t>
      </w:r>
      <w:r w:rsidR="00CE4833" w:rsidRPr="009F1172">
        <w:rPr>
          <w:rFonts w:ascii="Times New Roman" w:hAnsi="Times New Roman" w:cs="Times New Roman"/>
          <w:sz w:val="24"/>
          <w:szCs w:val="24"/>
        </w:rPr>
        <w:t xml:space="preserve"> </w:t>
      </w:r>
      <w:r w:rsidR="00CE4833" w:rsidRPr="009F1172">
        <w:rPr>
          <w:rFonts w:ascii="Times New Roman" w:hAnsi="Times New Roman" w:cs="Times New Roman"/>
          <w:bCs/>
          <w:sz w:val="24"/>
          <w:szCs w:val="24"/>
        </w:rPr>
        <w:t>one or more first-degree relatives that have been affected by inheritable chronic conditions such as cancer, heart disease and type II diabetes.</w:t>
      </w:r>
      <w:r w:rsidR="003B7DB7" w:rsidRPr="009F1172">
        <w:rPr>
          <w:rFonts w:ascii="Times New Roman" w:hAnsi="Times New Roman" w:cs="Times New Roman"/>
          <w:bCs/>
          <w:sz w:val="24"/>
          <w:szCs w:val="24"/>
        </w:rPr>
        <w:t xml:space="preserve"> </w:t>
      </w:r>
    </w:p>
    <w:p w:rsidR="00EE45F2" w:rsidRPr="009F1172" w:rsidRDefault="00EE45F2" w:rsidP="00EE45F2">
      <w:pPr>
        <w:spacing w:after="0" w:line="240" w:lineRule="auto"/>
        <w:rPr>
          <w:rFonts w:ascii="Times New Roman" w:hAnsi="Times New Roman" w:cs="Times New Roman"/>
          <w:b/>
          <w:sz w:val="24"/>
          <w:szCs w:val="24"/>
        </w:rPr>
      </w:pPr>
    </w:p>
    <w:p w:rsidR="00EE45F2" w:rsidRPr="009F1172" w:rsidRDefault="00765BF0" w:rsidP="00EE45F2">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V</w:t>
      </w:r>
      <w:r w:rsidR="00FA6594" w:rsidRPr="009F1172">
        <w:rPr>
          <w:rFonts w:ascii="Times New Roman" w:hAnsi="Times New Roman" w:cs="Times New Roman"/>
          <w:b/>
          <w:sz w:val="24"/>
          <w:szCs w:val="24"/>
        </w:rPr>
        <w:t>I</w:t>
      </w:r>
      <w:r w:rsidR="00EE45F2" w:rsidRPr="009F1172">
        <w:rPr>
          <w:rFonts w:ascii="Times New Roman" w:hAnsi="Times New Roman" w:cs="Times New Roman"/>
          <w:b/>
          <w:sz w:val="24"/>
          <w:szCs w:val="24"/>
        </w:rPr>
        <w:t>. Coordinate Standards and Encourage Integration Across Programs</w:t>
      </w:r>
    </w:p>
    <w:p w:rsidR="00EE45F2" w:rsidRPr="009F1172" w:rsidRDefault="00EE45F2" w:rsidP="00FB2597">
      <w:pPr>
        <w:spacing w:after="0" w:line="240" w:lineRule="auto"/>
        <w:rPr>
          <w:rFonts w:ascii="Times New Roman" w:hAnsi="Times New Roman" w:cs="Times New Roman"/>
          <w:b/>
          <w:sz w:val="24"/>
          <w:szCs w:val="24"/>
        </w:rPr>
      </w:pPr>
    </w:p>
    <w:p w:rsidR="00FB43AF" w:rsidRPr="009F1172" w:rsidRDefault="00FB43AF" w:rsidP="00AE24F3">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ACOs, medical homes</w:t>
      </w:r>
      <w:r w:rsidR="00ED744D" w:rsidRPr="009F1172">
        <w:rPr>
          <w:rFonts w:ascii="Times New Roman" w:hAnsi="Times New Roman" w:cs="Times New Roman"/>
          <w:sz w:val="24"/>
          <w:szCs w:val="24"/>
        </w:rPr>
        <w:t xml:space="preserve">, hospital readmission programs </w:t>
      </w:r>
      <w:r w:rsidRPr="009F1172">
        <w:rPr>
          <w:rFonts w:ascii="Times New Roman" w:hAnsi="Times New Roman" w:cs="Times New Roman"/>
          <w:sz w:val="24"/>
          <w:szCs w:val="24"/>
        </w:rPr>
        <w:t xml:space="preserve">and other </w:t>
      </w:r>
      <w:r w:rsidR="00ED744D" w:rsidRPr="009F1172">
        <w:rPr>
          <w:rFonts w:ascii="Times New Roman" w:hAnsi="Times New Roman" w:cs="Times New Roman"/>
          <w:sz w:val="24"/>
          <w:szCs w:val="24"/>
        </w:rPr>
        <w:t xml:space="preserve">delivery </w:t>
      </w:r>
      <w:r w:rsidR="00FC30D6" w:rsidRPr="009F1172">
        <w:rPr>
          <w:rFonts w:ascii="Times New Roman" w:hAnsi="Times New Roman" w:cs="Times New Roman"/>
          <w:sz w:val="24"/>
          <w:szCs w:val="24"/>
        </w:rPr>
        <w:t xml:space="preserve">reform efforts </w:t>
      </w:r>
      <w:r w:rsidR="00D53B72" w:rsidRPr="009F1172">
        <w:rPr>
          <w:rFonts w:ascii="Times New Roman" w:hAnsi="Times New Roman" w:cs="Times New Roman"/>
          <w:sz w:val="24"/>
          <w:szCs w:val="24"/>
        </w:rPr>
        <w:t xml:space="preserve">require </w:t>
      </w:r>
      <w:r w:rsidRPr="009F1172">
        <w:rPr>
          <w:rFonts w:ascii="Times New Roman" w:hAnsi="Times New Roman" w:cs="Times New Roman"/>
          <w:sz w:val="24"/>
          <w:szCs w:val="24"/>
        </w:rPr>
        <w:t xml:space="preserve">strong standards for interoperability </w:t>
      </w:r>
      <w:r w:rsidR="00ED744D" w:rsidRPr="009F1172">
        <w:rPr>
          <w:rFonts w:ascii="Times New Roman" w:hAnsi="Times New Roman" w:cs="Times New Roman"/>
          <w:sz w:val="24"/>
          <w:szCs w:val="24"/>
        </w:rPr>
        <w:t>and quality</w:t>
      </w:r>
      <w:r w:rsidR="00FC30D6" w:rsidRPr="009F1172">
        <w:rPr>
          <w:rFonts w:ascii="Times New Roman" w:hAnsi="Times New Roman" w:cs="Times New Roman"/>
          <w:sz w:val="24"/>
          <w:szCs w:val="24"/>
        </w:rPr>
        <w:t xml:space="preserve"> measurement</w:t>
      </w:r>
      <w:r w:rsidR="00ED744D" w:rsidRPr="009F1172">
        <w:rPr>
          <w:rFonts w:ascii="Times New Roman" w:hAnsi="Times New Roman" w:cs="Times New Roman"/>
          <w:sz w:val="24"/>
          <w:szCs w:val="24"/>
        </w:rPr>
        <w:t xml:space="preserve"> that are </w:t>
      </w:r>
      <w:r w:rsidRPr="009F1172">
        <w:rPr>
          <w:rFonts w:ascii="Times New Roman" w:hAnsi="Times New Roman" w:cs="Times New Roman"/>
          <w:sz w:val="24"/>
          <w:szCs w:val="24"/>
        </w:rPr>
        <w:t>coordinated across CMS programs</w:t>
      </w:r>
      <w:r w:rsidR="00AE24F3" w:rsidRPr="009F1172">
        <w:rPr>
          <w:rFonts w:ascii="Times New Roman" w:hAnsi="Times New Roman" w:cs="Times New Roman"/>
          <w:sz w:val="24"/>
          <w:szCs w:val="24"/>
        </w:rPr>
        <w:t xml:space="preserve">.  </w:t>
      </w:r>
      <w:r w:rsidR="00ED744D" w:rsidRPr="009F1172">
        <w:rPr>
          <w:rFonts w:ascii="Times New Roman" w:hAnsi="Times New Roman" w:cs="Times New Roman"/>
          <w:sz w:val="24"/>
          <w:szCs w:val="24"/>
        </w:rPr>
        <w:t xml:space="preserve">Alignment of </w:t>
      </w:r>
      <w:r w:rsidRPr="009F1172">
        <w:rPr>
          <w:rFonts w:ascii="Times New Roman" w:hAnsi="Times New Roman" w:cs="Times New Roman"/>
          <w:sz w:val="24"/>
          <w:szCs w:val="24"/>
        </w:rPr>
        <w:t xml:space="preserve">clinical </w:t>
      </w:r>
      <w:r w:rsidR="00ED744D" w:rsidRPr="009F1172">
        <w:rPr>
          <w:rFonts w:ascii="Times New Roman" w:hAnsi="Times New Roman" w:cs="Times New Roman"/>
          <w:sz w:val="24"/>
          <w:szCs w:val="24"/>
        </w:rPr>
        <w:t xml:space="preserve">quality measures will make the reporting of CQMs less burdensome.   </w:t>
      </w:r>
    </w:p>
    <w:p w:rsidR="00ED744D" w:rsidRPr="009F1172" w:rsidRDefault="00ED744D" w:rsidP="00ED744D">
      <w:pPr>
        <w:spacing w:after="0" w:line="240" w:lineRule="auto"/>
        <w:ind w:firstLine="720"/>
        <w:rPr>
          <w:rFonts w:ascii="Times New Roman" w:hAnsi="Times New Roman" w:cs="Times New Roman"/>
          <w:sz w:val="24"/>
          <w:szCs w:val="24"/>
        </w:rPr>
      </w:pPr>
    </w:p>
    <w:p w:rsidR="00D71069" w:rsidRPr="009F1172" w:rsidRDefault="00D71069" w:rsidP="003404F2">
      <w:pPr>
        <w:pStyle w:val="ListParagraph"/>
        <w:numPr>
          <w:ilvl w:val="0"/>
          <w:numId w:val="15"/>
        </w:numPr>
        <w:spacing w:after="240" w:line="240" w:lineRule="auto"/>
        <w:rPr>
          <w:rFonts w:ascii="Times New Roman" w:hAnsi="Times New Roman" w:cs="Times New Roman"/>
          <w:sz w:val="24"/>
          <w:szCs w:val="24"/>
        </w:rPr>
      </w:pPr>
      <w:r w:rsidRPr="009F1172">
        <w:rPr>
          <w:rFonts w:ascii="Times New Roman" w:hAnsi="Times New Roman" w:cs="Times New Roman"/>
          <w:b/>
          <w:sz w:val="24"/>
          <w:szCs w:val="24"/>
        </w:rPr>
        <w:t>Clinical Decision Support</w:t>
      </w:r>
      <w:r w:rsidRPr="009F1172">
        <w:rPr>
          <w:rFonts w:ascii="Times New Roman" w:hAnsi="Times New Roman" w:cs="Times New Roman"/>
          <w:sz w:val="24"/>
          <w:szCs w:val="24"/>
        </w:rPr>
        <w:t xml:space="preserve">.  CDS alerts </w:t>
      </w:r>
      <w:r w:rsidR="00D25E09" w:rsidRPr="009F1172">
        <w:rPr>
          <w:rFonts w:ascii="Times New Roman" w:hAnsi="Times New Roman" w:cs="Times New Roman"/>
          <w:sz w:val="24"/>
          <w:szCs w:val="24"/>
        </w:rPr>
        <w:t xml:space="preserve">should </w:t>
      </w:r>
      <w:r w:rsidRPr="009F1172">
        <w:rPr>
          <w:rFonts w:ascii="Times New Roman" w:hAnsi="Times New Roman" w:cs="Times New Roman"/>
          <w:sz w:val="24"/>
          <w:szCs w:val="24"/>
        </w:rPr>
        <w:t xml:space="preserve">be patient-specific, actionable based on the clinical profile of the patient, and targeted to the provider best positioned to act on the information. </w:t>
      </w:r>
    </w:p>
    <w:p w:rsidR="00D25E09" w:rsidRPr="009F1172" w:rsidRDefault="00D25E09" w:rsidP="003404F2">
      <w:pPr>
        <w:pStyle w:val="ListParagraph"/>
        <w:spacing w:after="240" w:line="240" w:lineRule="auto"/>
        <w:rPr>
          <w:rFonts w:ascii="Times New Roman" w:hAnsi="Times New Roman" w:cs="Times New Roman"/>
          <w:sz w:val="24"/>
          <w:szCs w:val="24"/>
        </w:rPr>
      </w:pPr>
    </w:p>
    <w:p w:rsidR="00D25E09" w:rsidRPr="009F1172" w:rsidRDefault="00F06C3B" w:rsidP="003404F2">
      <w:pPr>
        <w:pStyle w:val="ListParagraph"/>
        <w:numPr>
          <w:ilvl w:val="0"/>
          <w:numId w:val="15"/>
        </w:numPr>
        <w:spacing w:after="240" w:line="240" w:lineRule="auto"/>
        <w:rPr>
          <w:rFonts w:ascii="Times New Roman" w:hAnsi="Times New Roman" w:cs="Times New Roman"/>
          <w:b/>
          <w:sz w:val="24"/>
          <w:szCs w:val="24"/>
        </w:rPr>
      </w:pPr>
      <w:r w:rsidRPr="009F1172">
        <w:rPr>
          <w:rFonts w:ascii="Times New Roman" w:hAnsi="Times New Roman" w:cs="Times New Roman"/>
          <w:b/>
          <w:sz w:val="24"/>
          <w:szCs w:val="24"/>
        </w:rPr>
        <w:t>Alignment Across Programs</w:t>
      </w:r>
      <w:r w:rsidRPr="009F1172">
        <w:rPr>
          <w:rFonts w:ascii="Times New Roman" w:hAnsi="Times New Roman" w:cs="Times New Roman"/>
          <w:sz w:val="24"/>
          <w:szCs w:val="24"/>
        </w:rPr>
        <w:t xml:space="preserve">.  We support CMS’ effort to align the program reporting requirements across physician and hospital reporting and in the ACO program.  </w:t>
      </w:r>
      <w:r w:rsidR="000C24FB" w:rsidRPr="009F1172">
        <w:rPr>
          <w:rFonts w:ascii="Times New Roman" w:hAnsi="Times New Roman" w:cs="Times New Roman"/>
          <w:sz w:val="24"/>
          <w:szCs w:val="24"/>
        </w:rPr>
        <w:t xml:space="preserve">We </w:t>
      </w:r>
      <w:r w:rsidR="00D25E09" w:rsidRPr="009F1172">
        <w:rPr>
          <w:rFonts w:ascii="Times New Roman" w:hAnsi="Times New Roman" w:cs="Times New Roman"/>
          <w:sz w:val="24"/>
          <w:szCs w:val="24"/>
        </w:rPr>
        <w:t xml:space="preserve">recommend CMS </w:t>
      </w:r>
      <w:r w:rsidR="000C24FB" w:rsidRPr="009F1172">
        <w:rPr>
          <w:rFonts w:ascii="Times New Roman" w:hAnsi="Times New Roman" w:cs="Times New Roman"/>
          <w:sz w:val="24"/>
          <w:szCs w:val="24"/>
        </w:rPr>
        <w:t>adopt all the clinical quality measures used in the Shared Savings Program for the Meaningful Use program</w:t>
      </w:r>
      <w:r w:rsidR="005E34AF" w:rsidRPr="009F1172">
        <w:rPr>
          <w:rFonts w:ascii="Times New Roman" w:hAnsi="Times New Roman" w:cs="Times New Roman"/>
          <w:sz w:val="24"/>
          <w:szCs w:val="24"/>
        </w:rPr>
        <w:t>,</w:t>
      </w:r>
      <w:r w:rsidR="000C24FB" w:rsidRPr="009F1172">
        <w:rPr>
          <w:rFonts w:ascii="Times New Roman" w:hAnsi="Times New Roman" w:cs="Times New Roman"/>
          <w:sz w:val="24"/>
          <w:szCs w:val="24"/>
        </w:rPr>
        <w:t xml:space="preserve"> as it will promote participation in both.</w:t>
      </w:r>
      <w:r w:rsidR="00D25E09" w:rsidRPr="009F1172">
        <w:rPr>
          <w:rFonts w:ascii="Times New Roman" w:hAnsi="Times New Roman" w:cs="Times New Roman"/>
          <w:sz w:val="24"/>
          <w:szCs w:val="24"/>
        </w:rPr>
        <w:t xml:space="preserve">  </w:t>
      </w:r>
    </w:p>
    <w:p w:rsidR="00D25E09" w:rsidRPr="009F1172" w:rsidRDefault="00D25E09" w:rsidP="003404F2">
      <w:pPr>
        <w:pStyle w:val="ListParagraph"/>
        <w:spacing w:line="240" w:lineRule="auto"/>
        <w:rPr>
          <w:rFonts w:ascii="Times New Roman" w:hAnsi="Times New Roman" w:cs="Times New Roman"/>
          <w:b/>
          <w:sz w:val="24"/>
          <w:szCs w:val="24"/>
        </w:rPr>
      </w:pPr>
    </w:p>
    <w:p w:rsidR="009E725A" w:rsidRPr="009F1172" w:rsidRDefault="000C24FB" w:rsidP="003404F2">
      <w:pPr>
        <w:pStyle w:val="ListParagraph"/>
        <w:numPr>
          <w:ilvl w:val="0"/>
          <w:numId w:val="15"/>
        </w:numPr>
        <w:spacing w:after="240" w:line="240" w:lineRule="auto"/>
        <w:rPr>
          <w:rFonts w:ascii="Times New Roman" w:hAnsi="Times New Roman" w:cs="Times New Roman"/>
          <w:sz w:val="24"/>
          <w:szCs w:val="24"/>
        </w:rPr>
      </w:pPr>
      <w:r w:rsidRPr="009F1172">
        <w:rPr>
          <w:rFonts w:ascii="Times New Roman" w:hAnsi="Times New Roman" w:cs="Times New Roman"/>
          <w:b/>
          <w:sz w:val="24"/>
          <w:szCs w:val="24"/>
        </w:rPr>
        <w:t>Clinical Quality Measures</w:t>
      </w:r>
      <w:r w:rsidR="00A34808" w:rsidRPr="009F1172">
        <w:rPr>
          <w:rFonts w:ascii="Times New Roman" w:hAnsi="Times New Roman" w:cs="Times New Roman"/>
          <w:sz w:val="24"/>
          <w:szCs w:val="24"/>
        </w:rPr>
        <w:t xml:space="preserve">.  </w:t>
      </w:r>
      <w:r w:rsidRPr="009F1172">
        <w:rPr>
          <w:rFonts w:ascii="Times New Roman" w:hAnsi="Times New Roman" w:cs="Times New Roman"/>
          <w:sz w:val="24"/>
          <w:szCs w:val="24"/>
        </w:rPr>
        <w:t xml:space="preserve">We suggest focusing more on outcomes measures and less on process measures.   </w:t>
      </w:r>
      <w:r w:rsidR="00D25E09" w:rsidRPr="009F1172">
        <w:rPr>
          <w:rFonts w:ascii="Times New Roman" w:hAnsi="Times New Roman" w:cs="Times New Roman"/>
          <w:sz w:val="24"/>
          <w:szCs w:val="24"/>
        </w:rPr>
        <w:t>Some measures in the proposed rule represent basic standards of care and will have little impact on outcomes.  Other measures for overuse are not included in the core set, but should be (</w:t>
      </w:r>
      <w:r w:rsidR="00D53B72" w:rsidRPr="009F1172">
        <w:rPr>
          <w:rFonts w:ascii="Times New Roman" w:hAnsi="Times New Roman" w:cs="Times New Roman"/>
          <w:sz w:val="24"/>
          <w:szCs w:val="24"/>
        </w:rPr>
        <w:t xml:space="preserve">see, for example, </w:t>
      </w:r>
      <w:r w:rsidR="00D25E09" w:rsidRPr="009F1172">
        <w:rPr>
          <w:rFonts w:ascii="Times New Roman" w:hAnsi="Times New Roman" w:cs="Times New Roman"/>
          <w:color w:val="000000"/>
          <w:sz w:val="24"/>
          <w:szCs w:val="24"/>
        </w:rPr>
        <w:t xml:space="preserve">NQF 0210, NQF 0212, NQF 0213, NQF 0309, and </w:t>
      </w:r>
      <w:r w:rsidR="00D25E09" w:rsidRPr="009F1172">
        <w:rPr>
          <w:rFonts w:ascii="Times New Roman" w:hAnsi="Times New Roman" w:cs="Times New Roman"/>
          <w:sz w:val="24"/>
          <w:szCs w:val="24"/>
        </w:rPr>
        <w:t>NQF 0602).</w:t>
      </w:r>
    </w:p>
    <w:p w:rsidR="009E725A" w:rsidRPr="009F1172" w:rsidRDefault="009E725A" w:rsidP="003404F2">
      <w:pPr>
        <w:pStyle w:val="ListParagraph"/>
        <w:spacing w:line="240" w:lineRule="auto"/>
        <w:rPr>
          <w:rFonts w:ascii="Times New Roman" w:hAnsi="Times New Roman" w:cs="Times New Roman"/>
          <w:b/>
          <w:sz w:val="24"/>
          <w:szCs w:val="24"/>
        </w:rPr>
      </w:pPr>
    </w:p>
    <w:p w:rsidR="009E725A" w:rsidRPr="009F1172" w:rsidRDefault="009E725A" w:rsidP="003404F2">
      <w:pPr>
        <w:pStyle w:val="ListParagraph"/>
        <w:numPr>
          <w:ilvl w:val="0"/>
          <w:numId w:val="15"/>
        </w:numPr>
        <w:spacing w:after="240" w:line="240" w:lineRule="auto"/>
        <w:rPr>
          <w:rFonts w:ascii="Times New Roman" w:hAnsi="Times New Roman" w:cs="Times New Roman"/>
          <w:sz w:val="24"/>
          <w:szCs w:val="24"/>
        </w:rPr>
      </w:pPr>
      <w:r w:rsidRPr="009F1172">
        <w:rPr>
          <w:rFonts w:ascii="Times New Roman" w:hAnsi="Times New Roman" w:cs="Times New Roman"/>
          <w:b/>
          <w:sz w:val="24"/>
          <w:szCs w:val="24"/>
        </w:rPr>
        <w:t>Computable Performance Measures.</w:t>
      </w:r>
      <w:r w:rsidRPr="009F1172">
        <w:rPr>
          <w:rFonts w:ascii="Times New Roman" w:hAnsi="Times New Roman" w:cs="Times New Roman"/>
          <w:sz w:val="24"/>
          <w:szCs w:val="24"/>
        </w:rPr>
        <w:t xml:space="preserve">  Meaningful use quality measures should be reasonably and uniformly calculated within the context of certified EHRs.  This will simplify the reporting requirements by automatically generating reports based on data within the EHR.  </w:t>
      </w:r>
    </w:p>
    <w:p w:rsidR="00FB43AF" w:rsidRPr="009F1172" w:rsidRDefault="00FB43AF" w:rsidP="00FB43AF">
      <w:pPr>
        <w:spacing w:after="0" w:line="240" w:lineRule="auto"/>
        <w:rPr>
          <w:rFonts w:ascii="Times New Roman" w:hAnsi="Times New Roman" w:cs="Times New Roman"/>
          <w:b/>
          <w:sz w:val="24"/>
          <w:szCs w:val="24"/>
        </w:rPr>
      </w:pPr>
      <w:r w:rsidRPr="009F1172">
        <w:rPr>
          <w:rFonts w:ascii="Times New Roman" w:hAnsi="Times New Roman" w:cs="Times New Roman"/>
          <w:b/>
          <w:sz w:val="24"/>
          <w:szCs w:val="24"/>
        </w:rPr>
        <w:t>V</w:t>
      </w:r>
      <w:r w:rsidR="0016598F" w:rsidRPr="009F1172">
        <w:rPr>
          <w:rFonts w:ascii="Times New Roman" w:hAnsi="Times New Roman" w:cs="Times New Roman"/>
          <w:b/>
          <w:sz w:val="24"/>
          <w:szCs w:val="24"/>
        </w:rPr>
        <w:t>II</w:t>
      </w:r>
      <w:r w:rsidRPr="009F1172">
        <w:rPr>
          <w:rFonts w:ascii="Times New Roman" w:hAnsi="Times New Roman" w:cs="Times New Roman"/>
          <w:b/>
          <w:sz w:val="24"/>
          <w:szCs w:val="24"/>
        </w:rPr>
        <w:t>. Conclusion</w:t>
      </w:r>
    </w:p>
    <w:p w:rsidR="00FB43AF" w:rsidRPr="009F1172" w:rsidRDefault="00FB43AF" w:rsidP="00FB43AF">
      <w:pPr>
        <w:spacing w:after="0" w:line="240" w:lineRule="auto"/>
        <w:rPr>
          <w:rFonts w:ascii="Times New Roman" w:hAnsi="Times New Roman" w:cs="Times New Roman"/>
          <w:sz w:val="24"/>
          <w:szCs w:val="24"/>
        </w:rPr>
      </w:pPr>
    </w:p>
    <w:p w:rsidR="00FB43AF" w:rsidRPr="009F1172" w:rsidRDefault="00ED744D" w:rsidP="00FB43AF">
      <w:pPr>
        <w:spacing w:after="0" w:line="240" w:lineRule="auto"/>
        <w:ind w:firstLine="720"/>
        <w:rPr>
          <w:rFonts w:ascii="Times New Roman" w:hAnsi="Times New Roman" w:cs="Times New Roman"/>
          <w:sz w:val="24"/>
          <w:szCs w:val="24"/>
        </w:rPr>
      </w:pPr>
      <w:r w:rsidRPr="009F1172">
        <w:rPr>
          <w:rFonts w:ascii="Times New Roman" w:hAnsi="Times New Roman" w:cs="Times New Roman"/>
          <w:sz w:val="24"/>
          <w:szCs w:val="24"/>
        </w:rPr>
        <w:t xml:space="preserve">We appreciate the </w:t>
      </w:r>
      <w:r w:rsidR="00FB43AF" w:rsidRPr="009F1172">
        <w:rPr>
          <w:rFonts w:ascii="Times New Roman" w:hAnsi="Times New Roman" w:cs="Times New Roman"/>
          <w:sz w:val="24"/>
          <w:szCs w:val="24"/>
        </w:rPr>
        <w:t xml:space="preserve">opportunity to provide you with our comments on the proposed </w:t>
      </w:r>
      <w:r w:rsidRPr="009F1172">
        <w:rPr>
          <w:rFonts w:ascii="Times New Roman" w:hAnsi="Times New Roman" w:cs="Times New Roman"/>
          <w:sz w:val="24"/>
          <w:szCs w:val="24"/>
        </w:rPr>
        <w:t>modifications to the Meaningful Use program</w:t>
      </w:r>
      <w:r w:rsidR="00FB43AF" w:rsidRPr="009F1172">
        <w:rPr>
          <w:rFonts w:ascii="Times New Roman" w:hAnsi="Times New Roman" w:cs="Times New Roman"/>
          <w:sz w:val="24"/>
          <w:szCs w:val="24"/>
        </w:rPr>
        <w:t xml:space="preserve">. </w:t>
      </w:r>
      <w:r w:rsidRPr="009F1172">
        <w:rPr>
          <w:rFonts w:ascii="Times New Roman" w:hAnsi="Times New Roman" w:cs="Times New Roman"/>
          <w:sz w:val="24"/>
          <w:szCs w:val="24"/>
        </w:rPr>
        <w:t xml:space="preserve"> </w:t>
      </w:r>
      <w:r w:rsidR="003C7002" w:rsidRPr="009F1172">
        <w:rPr>
          <w:rFonts w:ascii="Times New Roman" w:hAnsi="Times New Roman" w:cs="Times New Roman"/>
          <w:sz w:val="24"/>
          <w:szCs w:val="24"/>
        </w:rPr>
        <w:t>CMS</w:t>
      </w:r>
      <w:r w:rsidRPr="009F1172">
        <w:rPr>
          <w:rFonts w:ascii="Times New Roman" w:hAnsi="Times New Roman" w:cs="Times New Roman"/>
          <w:sz w:val="24"/>
          <w:szCs w:val="24"/>
        </w:rPr>
        <w:t xml:space="preserve"> has </w:t>
      </w:r>
      <w:r w:rsidR="00A61EC8" w:rsidRPr="009F1172">
        <w:rPr>
          <w:rFonts w:ascii="Times New Roman" w:hAnsi="Times New Roman" w:cs="Times New Roman"/>
          <w:sz w:val="24"/>
          <w:szCs w:val="24"/>
        </w:rPr>
        <w:t xml:space="preserve">proposed an excellent start to </w:t>
      </w:r>
      <w:r w:rsidRPr="009F1172">
        <w:rPr>
          <w:rFonts w:ascii="Times New Roman" w:hAnsi="Times New Roman" w:cs="Times New Roman"/>
          <w:sz w:val="24"/>
          <w:szCs w:val="24"/>
        </w:rPr>
        <w:t xml:space="preserve">the </w:t>
      </w:r>
      <w:r w:rsidRPr="009F1172">
        <w:rPr>
          <w:rFonts w:ascii="Times New Roman" w:hAnsi="Times New Roman" w:cs="Times New Roman"/>
          <w:sz w:val="24"/>
          <w:szCs w:val="24"/>
        </w:rPr>
        <w:lastRenderedPageBreak/>
        <w:t xml:space="preserve">development of an </w:t>
      </w:r>
      <w:r w:rsidR="00085CBE" w:rsidRPr="009F1172">
        <w:rPr>
          <w:rFonts w:ascii="Times New Roman" w:hAnsi="Times New Roman" w:cs="Times New Roman"/>
          <w:sz w:val="24"/>
          <w:szCs w:val="24"/>
        </w:rPr>
        <w:t>information</w:t>
      </w:r>
      <w:r w:rsidR="00F942C3" w:rsidRPr="009F1172">
        <w:rPr>
          <w:rFonts w:ascii="Times New Roman" w:hAnsi="Times New Roman" w:cs="Times New Roman"/>
          <w:sz w:val="24"/>
          <w:szCs w:val="24"/>
        </w:rPr>
        <w:t>-</w:t>
      </w:r>
      <w:r w:rsidR="00085CBE" w:rsidRPr="009F1172">
        <w:rPr>
          <w:rFonts w:ascii="Times New Roman" w:hAnsi="Times New Roman" w:cs="Times New Roman"/>
          <w:sz w:val="24"/>
          <w:szCs w:val="24"/>
        </w:rPr>
        <w:t>rich and care-</w:t>
      </w:r>
      <w:r w:rsidRPr="009F1172">
        <w:rPr>
          <w:rFonts w:ascii="Times New Roman" w:hAnsi="Times New Roman" w:cs="Times New Roman"/>
          <w:sz w:val="24"/>
          <w:szCs w:val="24"/>
        </w:rPr>
        <w:t xml:space="preserve">coordinated environment.  </w:t>
      </w:r>
      <w:r w:rsidR="00A61EC8" w:rsidRPr="009F1172">
        <w:rPr>
          <w:rFonts w:ascii="Times New Roman" w:hAnsi="Times New Roman" w:cs="Times New Roman"/>
          <w:sz w:val="24"/>
          <w:szCs w:val="24"/>
        </w:rPr>
        <w:t xml:space="preserve">We encourage you to </w:t>
      </w:r>
      <w:r w:rsidRPr="009F1172">
        <w:rPr>
          <w:rFonts w:ascii="Times New Roman" w:hAnsi="Times New Roman" w:cs="Times New Roman"/>
          <w:sz w:val="24"/>
          <w:szCs w:val="24"/>
        </w:rPr>
        <w:t>more aggressive</w:t>
      </w:r>
      <w:r w:rsidR="00A61EC8" w:rsidRPr="009F1172">
        <w:rPr>
          <w:rFonts w:ascii="Times New Roman" w:hAnsi="Times New Roman" w:cs="Times New Roman"/>
          <w:sz w:val="24"/>
          <w:szCs w:val="24"/>
        </w:rPr>
        <w:t>ly</w:t>
      </w:r>
      <w:r w:rsidRPr="009F1172">
        <w:rPr>
          <w:rFonts w:ascii="Times New Roman" w:hAnsi="Times New Roman" w:cs="Times New Roman"/>
          <w:sz w:val="24"/>
          <w:szCs w:val="24"/>
        </w:rPr>
        <w:t xml:space="preserve"> </w:t>
      </w:r>
      <w:r w:rsidR="00A61EC8" w:rsidRPr="009F1172">
        <w:rPr>
          <w:rFonts w:ascii="Times New Roman" w:hAnsi="Times New Roman" w:cs="Times New Roman"/>
          <w:sz w:val="24"/>
          <w:szCs w:val="24"/>
        </w:rPr>
        <w:t xml:space="preserve">promote </w:t>
      </w:r>
      <w:r w:rsidRPr="009F1172">
        <w:rPr>
          <w:rFonts w:ascii="Times New Roman" w:hAnsi="Times New Roman" w:cs="Times New Roman"/>
          <w:sz w:val="24"/>
          <w:szCs w:val="24"/>
        </w:rPr>
        <w:t>interoperability</w:t>
      </w:r>
      <w:r w:rsidR="00F942C3" w:rsidRPr="009F1172">
        <w:rPr>
          <w:rFonts w:ascii="Times New Roman" w:hAnsi="Times New Roman" w:cs="Times New Roman"/>
          <w:sz w:val="24"/>
          <w:szCs w:val="24"/>
        </w:rPr>
        <w:t xml:space="preserve"> and health IT adoption in general</w:t>
      </w:r>
      <w:r w:rsidR="00A61EC8" w:rsidRPr="009F1172">
        <w:rPr>
          <w:rFonts w:ascii="Times New Roman" w:hAnsi="Times New Roman" w:cs="Times New Roman"/>
          <w:sz w:val="24"/>
          <w:szCs w:val="24"/>
        </w:rPr>
        <w:t xml:space="preserve"> to ensure </w:t>
      </w:r>
      <w:r w:rsidRPr="009F1172">
        <w:rPr>
          <w:rFonts w:ascii="Times New Roman" w:hAnsi="Times New Roman" w:cs="Times New Roman"/>
          <w:sz w:val="24"/>
          <w:szCs w:val="24"/>
        </w:rPr>
        <w:t>the program reach</w:t>
      </w:r>
      <w:r w:rsidR="00A61EC8" w:rsidRPr="009F1172">
        <w:rPr>
          <w:rFonts w:ascii="Times New Roman" w:hAnsi="Times New Roman" w:cs="Times New Roman"/>
          <w:sz w:val="24"/>
          <w:szCs w:val="24"/>
        </w:rPr>
        <w:t>es</w:t>
      </w:r>
      <w:r w:rsidRPr="009F1172">
        <w:rPr>
          <w:rFonts w:ascii="Times New Roman" w:hAnsi="Times New Roman" w:cs="Times New Roman"/>
          <w:sz w:val="24"/>
          <w:szCs w:val="24"/>
        </w:rPr>
        <w:t xml:space="preserve"> its optimal potential</w:t>
      </w:r>
      <w:r w:rsidR="00D25E09" w:rsidRPr="009F1172">
        <w:rPr>
          <w:rFonts w:ascii="Times New Roman" w:hAnsi="Times New Roman" w:cs="Times New Roman"/>
          <w:sz w:val="24"/>
          <w:szCs w:val="24"/>
        </w:rPr>
        <w:t xml:space="preserve"> to improve outcomes and lower costs</w:t>
      </w:r>
      <w:r w:rsidRPr="009F1172">
        <w:rPr>
          <w:rFonts w:ascii="Times New Roman" w:hAnsi="Times New Roman" w:cs="Times New Roman"/>
          <w:sz w:val="24"/>
          <w:szCs w:val="24"/>
        </w:rPr>
        <w:t xml:space="preserve">.  </w:t>
      </w:r>
      <w:r w:rsidR="0016598F" w:rsidRPr="009F1172">
        <w:rPr>
          <w:rFonts w:ascii="Times New Roman" w:hAnsi="Times New Roman" w:cs="Times New Roman"/>
          <w:sz w:val="24"/>
          <w:szCs w:val="24"/>
        </w:rPr>
        <w:t xml:space="preserve">We stand ready to work with you to help ensure quality is improved and costs are reduced across the health system through robust </w:t>
      </w:r>
      <w:r w:rsidR="00F942C3" w:rsidRPr="009F1172">
        <w:rPr>
          <w:rFonts w:ascii="Times New Roman" w:hAnsi="Times New Roman" w:cs="Times New Roman"/>
          <w:sz w:val="24"/>
          <w:szCs w:val="24"/>
        </w:rPr>
        <w:t xml:space="preserve">clinical </w:t>
      </w:r>
      <w:r w:rsidR="0016598F" w:rsidRPr="009F1172">
        <w:rPr>
          <w:rFonts w:ascii="Times New Roman" w:hAnsi="Times New Roman" w:cs="Times New Roman"/>
          <w:sz w:val="24"/>
          <w:szCs w:val="24"/>
        </w:rPr>
        <w:t xml:space="preserve">information sharing and interoperability.  </w:t>
      </w:r>
    </w:p>
    <w:p w:rsidR="00FB43AF" w:rsidRPr="009F1172" w:rsidRDefault="00FB43AF" w:rsidP="00FB43AF">
      <w:pPr>
        <w:spacing w:after="0" w:line="240" w:lineRule="auto"/>
        <w:rPr>
          <w:rFonts w:ascii="Times New Roman" w:hAnsi="Times New Roman" w:cs="Times New Roman"/>
          <w:sz w:val="24"/>
          <w:szCs w:val="24"/>
        </w:rPr>
      </w:pPr>
    </w:p>
    <w:p w:rsidR="00FB43AF" w:rsidRDefault="00FB43AF" w:rsidP="00FB43AF">
      <w:pPr>
        <w:spacing w:after="0" w:line="240" w:lineRule="auto"/>
        <w:rPr>
          <w:rFonts w:ascii="Times New Roman" w:hAnsi="Times New Roman" w:cs="Times New Roman"/>
          <w:sz w:val="24"/>
          <w:szCs w:val="24"/>
        </w:rPr>
      </w:pPr>
      <w:r w:rsidRPr="009F1172">
        <w:rPr>
          <w:rFonts w:ascii="Times New Roman" w:hAnsi="Times New Roman" w:cs="Times New Roman"/>
          <w:sz w:val="24"/>
          <w:szCs w:val="24"/>
        </w:rPr>
        <w:t>Sincerely,</w:t>
      </w:r>
      <w:r w:rsidR="00F942C3">
        <w:rPr>
          <w:rFonts w:ascii="Times New Roman" w:hAnsi="Times New Roman" w:cs="Times New Roman"/>
          <w:sz w:val="24"/>
          <w:szCs w:val="24"/>
        </w:rPr>
        <w:t xml:space="preserve"> </w:t>
      </w:r>
    </w:p>
    <w:p w:rsidR="00E8775F" w:rsidRDefault="00E8775F" w:rsidP="00FB43AF">
      <w:pPr>
        <w:spacing w:after="0" w:line="240" w:lineRule="auto"/>
        <w:rPr>
          <w:rFonts w:ascii="Times New Roman" w:hAnsi="Times New Roman" w:cs="Times New Roman"/>
          <w:sz w:val="24"/>
          <w:szCs w:val="24"/>
        </w:rPr>
      </w:pP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American Heart Association/American Stroke Association</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Bread for the City</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DC Primary Care Association</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Intel Corporation</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HealthHIV</w:t>
      </w:r>
    </w:p>
    <w:p w:rsid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National Alliance on Mental Illness</w:t>
      </w:r>
    </w:p>
    <w:p w:rsidR="0049211A" w:rsidRPr="00E8775F" w:rsidRDefault="0049211A" w:rsidP="00E8775F">
      <w:pPr>
        <w:spacing w:after="0" w:line="240" w:lineRule="auto"/>
        <w:rPr>
          <w:rFonts w:ascii="Times New Roman" w:hAnsi="Times New Roman" w:cs="Times New Roman"/>
          <w:sz w:val="24"/>
          <w:szCs w:val="24"/>
        </w:rPr>
      </w:pPr>
      <w:r>
        <w:rPr>
          <w:rFonts w:ascii="Times New Roman" w:hAnsi="Times New Roman" w:cs="Times New Roman"/>
          <w:sz w:val="24"/>
          <w:szCs w:val="24"/>
        </w:rPr>
        <w:t>National Association of Health Underwriters</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National Association of Manufacturers</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National Council for Community Behavioral Healthcare</w:t>
      </w:r>
    </w:p>
    <w:p w:rsidR="0049211A" w:rsidRDefault="0049211A" w:rsidP="00E8775F">
      <w:pPr>
        <w:spacing w:after="0" w:line="240" w:lineRule="auto"/>
        <w:rPr>
          <w:rFonts w:ascii="Times New Roman" w:hAnsi="Times New Roman" w:cs="Times New Roman"/>
          <w:sz w:val="24"/>
          <w:szCs w:val="24"/>
        </w:rPr>
      </w:pPr>
      <w:r>
        <w:rPr>
          <w:rFonts w:ascii="Times New Roman" w:hAnsi="Times New Roman" w:cs="Times New Roman"/>
          <w:sz w:val="24"/>
          <w:szCs w:val="24"/>
        </w:rPr>
        <w:t>National Medical Association</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Nationa</w:t>
      </w:r>
      <w:r w:rsidR="00670186">
        <w:rPr>
          <w:rFonts w:ascii="Times New Roman" w:hAnsi="Times New Roman" w:cs="Times New Roman"/>
          <w:sz w:val="24"/>
          <w:szCs w:val="24"/>
        </w:rPr>
        <w:t>l Organization for Rare Disorders</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National Patient Advocate Foundation</w:t>
      </w:r>
    </w:p>
    <w:p w:rsidR="005125DA" w:rsidRDefault="005125DA" w:rsidP="00E8775F">
      <w:pPr>
        <w:spacing w:after="0" w:line="240" w:lineRule="auto"/>
        <w:rPr>
          <w:rFonts w:ascii="Times New Roman" w:hAnsi="Times New Roman" w:cs="Times New Roman"/>
          <w:sz w:val="24"/>
          <w:szCs w:val="24"/>
        </w:rPr>
      </w:pPr>
      <w:r>
        <w:rPr>
          <w:rFonts w:ascii="Times New Roman" w:hAnsi="Times New Roman" w:cs="Times New Roman"/>
          <w:sz w:val="24"/>
          <w:szCs w:val="24"/>
        </w:rPr>
        <w:t>Newborn Coalition</w:t>
      </w:r>
    </w:p>
    <w:p w:rsidR="0049211A" w:rsidRDefault="0049211A" w:rsidP="00E8775F">
      <w:pPr>
        <w:spacing w:after="0" w:line="240" w:lineRule="auto"/>
        <w:rPr>
          <w:rFonts w:ascii="Times New Roman" w:hAnsi="Times New Roman" w:cs="Times New Roman"/>
          <w:sz w:val="24"/>
          <w:szCs w:val="24"/>
        </w:rPr>
      </w:pPr>
      <w:r>
        <w:rPr>
          <w:rFonts w:ascii="Times New Roman" w:hAnsi="Times New Roman" w:cs="Times New Roman"/>
          <w:sz w:val="24"/>
          <w:szCs w:val="24"/>
        </w:rPr>
        <w:t>Pharmaceutical Care Management Association</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Pharmacy e-Health Information Technology Collaborative</w:t>
      </w:r>
    </w:p>
    <w:p w:rsidR="00E8775F" w:rsidRP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UnitedHealth Group</w:t>
      </w:r>
    </w:p>
    <w:p w:rsidR="00E8775F" w:rsidRDefault="00E8775F" w:rsidP="00E8775F">
      <w:pPr>
        <w:spacing w:after="0" w:line="240" w:lineRule="auto"/>
        <w:rPr>
          <w:rFonts w:ascii="Times New Roman" w:hAnsi="Times New Roman" w:cs="Times New Roman"/>
          <w:sz w:val="24"/>
          <w:szCs w:val="24"/>
        </w:rPr>
      </w:pPr>
      <w:r w:rsidRPr="00E8775F">
        <w:rPr>
          <w:rFonts w:ascii="Times New Roman" w:hAnsi="Times New Roman" w:cs="Times New Roman"/>
          <w:sz w:val="24"/>
          <w:szCs w:val="24"/>
        </w:rPr>
        <w:t>Verizon Communications</w:t>
      </w:r>
    </w:p>
    <w:p w:rsidR="006578A8" w:rsidRPr="009E725A" w:rsidRDefault="006578A8" w:rsidP="00E8775F">
      <w:pPr>
        <w:spacing w:after="0" w:line="240" w:lineRule="auto"/>
        <w:rPr>
          <w:rFonts w:ascii="Times New Roman" w:hAnsi="Times New Roman" w:cs="Times New Roman"/>
          <w:sz w:val="24"/>
          <w:szCs w:val="24"/>
        </w:rPr>
      </w:pPr>
      <w:r>
        <w:rPr>
          <w:rFonts w:ascii="Times New Roman" w:hAnsi="Times New Roman" w:cs="Times New Roman"/>
          <w:sz w:val="24"/>
          <w:szCs w:val="24"/>
        </w:rPr>
        <w:t>Veterans Health Council</w:t>
      </w:r>
    </w:p>
    <w:sectPr w:rsidR="006578A8" w:rsidRPr="009E725A" w:rsidSect="00644966">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443"/>
    <w:multiLevelType w:val="hybridMultilevel"/>
    <w:tmpl w:val="6B34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13B59"/>
    <w:multiLevelType w:val="multilevel"/>
    <w:tmpl w:val="B75E46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F28C3"/>
    <w:multiLevelType w:val="hybridMultilevel"/>
    <w:tmpl w:val="0734C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FD5AC9"/>
    <w:multiLevelType w:val="hybridMultilevel"/>
    <w:tmpl w:val="16680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7D5867"/>
    <w:multiLevelType w:val="hybridMultilevel"/>
    <w:tmpl w:val="6DA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31FE4"/>
    <w:multiLevelType w:val="hybridMultilevel"/>
    <w:tmpl w:val="2FE00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05F50"/>
    <w:multiLevelType w:val="hybridMultilevel"/>
    <w:tmpl w:val="DF30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C1DC2"/>
    <w:multiLevelType w:val="multilevel"/>
    <w:tmpl w:val="B75E46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1D6E47"/>
    <w:multiLevelType w:val="hybridMultilevel"/>
    <w:tmpl w:val="CB00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3711E4"/>
    <w:multiLevelType w:val="hybridMultilevel"/>
    <w:tmpl w:val="028C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337A0"/>
    <w:multiLevelType w:val="hybridMultilevel"/>
    <w:tmpl w:val="678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C7DC6"/>
    <w:multiLevelType w:val="hybridMultilevel"/>
    <w:tmpl w:val="C72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E39A1"/>
    <w:multiLevelType w:val="multilevel"/>
    <w:tmpl w:val="B75E46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E22EE"/>
    <w:multiLevelType w:val="hybridMultilevel"/>
    <w:tmpl w:val="665C43AE"/>
    <w:lvl w:ilvl="0" w:tplc="EDA47456">
      <w:start w:val="1"/>
      <w:numFmt w:val="bullet"/>
      <w:lvlText w:val="•"/>
      <w:lvlJc w:val="left"/>
      <w:pPr>
        <w:tabs>
          <w:tab w:val="num" w:pos="720"/>
        </w:tabs>
        <w:ind w:left="720" w:hanging="360"/>
      </w:pPr>
      <w:rPr>
        <w:rFonts w:ascii="Arial" w:hAnsi="Arial" w:hint="default"/>
      </w:rPr>
    </w:lvl>
    <w:lvl w:ilvl="1" w:tplc="9836F7CA" w:tentative="1">
      <w:start w:val="1"/>
      <w:numFmt w:val="bullet"/>
      <w:lvlText w:val="•"/>
      <w:lvlJc w:val="left"/>
      <w:pPr>
        <w:tabs>
          <w:tab w:val="num" w:pos="1440"/>
        </w:tabs>
        <w:ind w:left="1440" w:hanging="360"/>
      </w:pPr>
      <w:rPr>
        <w:rFonts w:ascii="Arial" w:hAnsi="Arial" w:hint="default"/>
      </w:rPr>
    </w:lvl>
    <w:lvl w:ilvl="2" w:tplc="A9301194" w:tentative="1">
      <w:start w:val="1"/>
      <w:numFmt w:val="bullet"/>
      <w:lvlText w:val="•"/>
      <w:lvlJc w:val="left"/>
      <w:pPr>
        <w:tabs>
          <w:tab w:val="num" w:pos="2160"/>
        </w:tabs>
        <w:ind w:left="2160" w:hanging="360"/>
      </w:pPr>
      <w:rPr>
        <w:rFonts w:ascii="Arial" w:hAnsi="Arial" w:hint="default"/>
      </w:rPr>
    </w:lvl>
    <w:lvl w:ilvl="3" w:tplc="A3CC6432" w:tentative="1">
      <w:start w:val="1"/>
      <w:numFmt w:val="bullet"/>
      <w:lvlText w:val="•"/>
      <w:lvlJc w:val="left"/>
      <w:pPr>
        <w:tabs>
          <w:tab w:val="num" w:pos="2880"/>
        </w:tabs>
        <w:ind w:left="2880" w:hanging="360"/>
      </w:pPr>
      <w:rPr>
        <w:rFonts w:ascii="Arial" w:hAnsi="Arial" w:hint="default"/>
      </w:rPr>
    </w:lvl>
    <w:lvl w:ilvl="4" w:tplc="388E13E8" w:tentative="1">
      <w:start w:val="1"/>
      <w:numFmt w:val="bullet"/>
      <w:lvlText w:val="•"/>
      <w:lvlJc w:val="left"/>
      <w:pPr>
        <w:tabs>
          <w:tab w:val="num" w:pos="3600"/>
        </w:tabs>
        <w:ind w:left="3600" w:hanging="360"/>
      </w:pPr>
      <w:rPr>
        <w:rFonts w:ascii="Arial" w:hAnsi="Arial" w:hint="default"/>
      </w:rPr>
    </w:lvl>
    <w:lvl w:ilvl="5" w:tplc="2B1E70F4" w:tentative="1">
      <w:start w:val="1"/>
      <w:numFmt w:val="bullet"/>
      <w:lvlText w:val="•"/>
      <w:lvlJc w:val="left"/>
      <w:pPr>
        <w:tabs>
          <w:tab w:val="num" w:pos="4320"/>
        </w:tabs>
        <w:ind w:left="4320" w:hanging="360"/>
      </w:pPr>
      <w:rPr>
        <w:rFonts w:ascii="Arial" w:hAnsi="Arial" w:hint="default"/>
      </w:rPr>
    </w:lvl>
    <w:lvl w:ilvl="6" w:tplc="BB38FF1A" w:tentative="1">
      <w:start w:val="1"/>
      <w:numFmt w:val="bullet"/>
      <w:lvlText w:val="•"/>
      <w:lvlJc w:val="left"/>
      <w:pPr>
        <w:tabs>
          <w:tab w:val="num" w:pos="5040"/>
        </w:tabs>
        <w:ind w:left="5040" w:hanging="360"/>
      </w:pPr>
      <w:rPr>
        <w:rFonts w:ascii="Arial" w:hAnsi="Arial" w:hint="default"/>
      </w:rPr>
    </w:lvl>
    <w:lvl w:ilvl="7" w:tplc="1DD608D4" w:tentative="1">
      <w:start w:val="1"/>
      <w:numFmt w:val="bullet"/>
      <w:lvlText w:val="•"/>
      <w:lvlJc w:val="left"/>
      <w:pPr>
        <w:tabs>
          <w:tab w:val="num" w:pos="5760"/>
        </w:tabs>
        <w:ind w:left="5760" w:hanging="360"/>
      </w:pPr>
      <w:rPr>
        <w:rFonts w:ascii="Arial" w:hAnsi="Arial" w:hint="default"/>
      </w:rPr>
    </w:lvl>
    <w:lvl w:ilvl="8" w:tplc="1DB283C0" w:tentative="1">
      <w:start w:val="1"/>
      <w:numFmt w:val="bullet"/>
      <w:lvlText w:val="•"/>
      <w:lvlJc w:val="left"/>
      <w:pPr>
        <w:tabs>
          <w:tab w:val="num" w:pos="6480"/>
        </w:tabs>
        <w:ind w:left="6480" w:hanging="360"/>
      </w:pPr>
      <w:rPr>
        <w:rFonts w:ascii="Arial" w:hAnsi="Arial" w:hint="default"/>
      </w:rPr>
    </w:lvl>
  </w:abstractNum>
  <w:abstractNum w:abstractNumId="14">
    <w:nsid w:val="787857E7"/>
    <w:multiLevelType w:val="hybridMultilevel"/>
    <w:tmpl w:val="844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2"/>
  </w:num>
  <w:num w:numId="5">
    <w:abstractNumId w:val="0"/>
  </w:num>
  <w:num w:numId="6">
    <w:abstractNumId w:val="14"/>
  </w:num>
  <w:num w:numId="7">
    <w:abstractNumId w:val="9"/>
  </w:num>
  <w:num w:numId="8">
    <w:abstractNumId w:val="7"/>
  </w:num>
  <w:num w:numId="9">
    <w:abstractNumId w:val="5"/>
  </w:num>
  <w:num w:numId="10">
    <w:abstractNumId w:val="4"/>
  </w:num>
  <w:num w:numId="11">
    <w:abstractNumId w:val="8"/>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C0FD3"/>
    <w:rsid w:val="00017221"/>
    <w:rsid w:val="00085C7F"/>
    <w:rsid w:val="00085CBE"/>
    <w:rsid w:val="000B49C7"/>
    <w:rsid w:val="000C24FB"/>
    <w:rsid w:val="000E00CE"/>
    <w:rsid w:val="000E735E"/>
    <w:rsid w:val="000F1304"/>
    <w:rsid w:val="000F32E4"/>
    <w:rsid w:val="00117A49"/>
    <w:rsid w:val="0014550E"/>
    <w:rsid w:val="0016598F"/>
    <w:rsid w:val="00192C55"/>
    <w:rsid w:val="001B490F"/>
    <w:rsid w:val="001F5DCD"/>
    <w:rsid w:val="0026518C"/>
    <w:rsid w:val="002675C5"/>
    <w:rsid w:val="0027372A"/>
    <w:rsid w:val="002B1BF1"/>
    <w:rsid w:val="002C0D98"/>
    <w:rsid w:val="002D6283"/>
    <w:rsid w:val="003251A6"/>
    <w:rsid w:val="0032760B"/>
    <w:rsid w:val="003404F2"/>
    <w:rsid w:val="00350481"/>
    <w:rsid w:val="00364A77"/>
    <w:rsid w:val="00373505"/>
    <w:rsid w:val="003B7DB7"/>
    <w:rsid w:val="003C7002"/>
    <w:rsid w:val="003D6602"/>
    <w:rsid w:val="0041241F"/>
    <w:rsid w:val="0042566B"/>
    <w:rsid w:val="004532C8"/>
    <w:rsid w:val="0049211A"/>
    <w:rsid w:val="004B4BCF"/>
    <w:rsid w:val="004D2D33"/>
    <w:rsid w:val="004E0215"/>
    <w:rsid w:val="004E2029"/>
    <w:rsid w:val="004E2A5D"/>
    <w:rsid w:val="005014FD"/>
    <w:rsid w:val="005125DA"/>
    <w:rsid w:val="00523336"/>
    <w:rsid w:val="005343CA"/>
    <w:rsid w:val="005514EC"/>
    <w:rsid w:val="00563C85"/>
    <w:rsid w:val="005A3607"/>
    <w:rsid w:val="005C3979"/>
    <w:rsid w:val="005E34AF"/>
    <w:rsid w:val="005F327B"/>
    <w:rsid w:val="00644966"/>
    <w:rsid w:val="006578A8"/>
    <w:rsid w:val="00665884"/>
    <w:rsid w:val="00670186"/>
    <w:rsid w:val="006A2B57"/>
    <w:rsid w:val="006D4E12"/>
    <w:rsid w:val="00715ECB"/>
    <w:rsid w:val="00765BF0"/>
    <w:rsid w:val="00786E19"/>
    <w:rsid w:val="00791BFA"/>
    <w:rsid w:val="007B6D8D"/>
    <w:rsid w:val="007D046E"/>
    <w:rsid w:val="007E07F2"/>
    <w:rsid w:val="007E7685"/>
    <w:rsid w:val="007F0990"/>
    <w:rsid w:val="00802DC1"/>
    <w:rsid w:val="008247B1"/>
    <w:rsid w:val="00831837"/>
    <w:rsid w:val="00842268"/>
    <w:rsid w:val="008423C5"/>
    <w:rsid w:val="00854239"/>
    <w:rsid w:val="00863783"/>
    <w:rsid w:val="00870FA4"/>
    <w:rsid w:val="00873549"/>
    <w:rsid w:val="008A6EBA"/>
    <w:rsid w:val="008B7CA0"/>
    <w:rsid w:val="008C5EC1"/>
    <w:rsid w:val="008D0D57"/>
    <w:rsid w:val="008F241C"/>
    <w:rsid w:val="00915DF4"/>
    <w:rsid w:val="00934C8C"/>
    <w:rsid w:val="00945A8C"/>
    <w:rsid w:val="00977C12"/>
    <w:rsid w:val="00981D72"/>
    <w:rsid w:val="009A014D"/>
    <w:rsid w:val="009A4841"/>
    <w:rsid w:val="009A6332"/>
    <w:rsid w:val="009B2095"/>
    <w:rsid w:val="009E3DEE"/>
    <w:rsid w:val="009E725A"/>
    <w:rsid w:val="009F1172"/>
    <w:rsid w:val="00A33D87"/>
    <w:rsid w:val="00A34808"/>
    <w:rsid w:val="00A37EBA"/>
    <w:rsid w:val="00A45DBE"/>
    <w:rsid w:val="00A61EC8"/>
    <w:rsid w:val="00A762E7"/>
    <w:rsid w:val="00A82B64"/>
    <w:rsid w:val="00AC35A2"/>
    <w:rsid w:val="00AD0CCB"/>
    <w:rsid w:val="00AE24F3"/>
    <w:rsid w:val="00B26145"/>
    <w:rsid w:val="00BA100E"/>
    <w:rsid w:val="00BA1618"/>
    <w:rsid w:val="00BC65FF"/>
    <w:rsid w:val="00BC790F"/>
    <w:rsid w:val="00BD38F8"/>
    <w:rsid w:val="00BE2928"/>
    <w:rsid w:val="00BE6166"/>
    <w:rsid w:val="00C03274"/>
    <w:rsid w:val="00C03B6F"/>
    <w:rsid w:val="00C1151D"/>
    <w:rsid w:val="00C4785D"/>
    <w:rsid w:val="00C921D9"/>
    <w:rsid w:val="00CA402F"/>
    <w:rsid w:val="00CE4833"/>
    <w:rsid w:val="00CE71BF"/>
    <w:rsid w:val="00CF7324"/>
    <w:rsid w:val="00D22701"/>
    <w:rsid w:val="00D25E09"/>
    <w:rsid w:val="00D46E78"/>
    <w:rsid w:val="00D53B72"/>
    <w:rsid w:val="00D6003E"/>
    <w:rsid w:val="00D6787B"/>
    <w:rsid w:val="00D71069"/>
    <w:rsid w:val="00D73C74"/>
    <w:rsid w:val="00D821C5"/>
    <w:rsid w:val="00D86F83"/>
    <w:rsid w:val="00DA2978"/>
    <w:rsid w:val="00DC0FD3"/>
    <w:rsid w:val="00DC1D74"/>
    <w:rsid w:val="00DD1F6B"/>
    <w:rsid w:val="00DD24E8"/>
    <w:rsid w:val="00DD57E2"/>
    <w:rsid w:val="00E01E74"/>
    <w:rsid w:val="00E350C7"/>
    <w:rsid w:val="00E77B5E"/>
    <w:rsid w:val="00E8775F"/>
    <w:rsid w:val="00E87D4C"/>
    <w:rsid w:val="00ED744D"/>
    <w:rsid w:val="00EE0AB2"/>
    <w:rsid w:val="00EE45F2"/>
    <w:rsid w:val="00F06C3B"/>
    <w:rsid w:val="00F13C23"/>
    <w:rsid w:val="00F17C13"/>
    <w:rsid w:val="00F205F5"/>
    <w:rsid w:val="00F25D4B"/>
    <w:rsid w:val="00F52322"/>
    <w:rsid w:val="00F86C44"/>
    <w:rsid w:val="00F91C94"/>
    <w:rsid w:val="00F942C3"/>
    <w:rsid w:val="00F94393"/>
    <w:rsid w:val="00FA6594"/>
    <w:rsid w:val="00FB2597"/>
    <w:rsid w:val="00FB43AF"/>
    <w:rsid w:val="00FC2398"/>
    <w:rsid w:val="00FC30D6"/>
    <w:rsid w:val="00FE0964"/>
    <w:rsid w:val="00FE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D3"/>
    <w:rPr>
      <w:color w:val="0000FF" w:themeColor="hyperlink"/>
      <w:u w:val="single"/>
    </w:rPr>
  </w:style>
  <w:style w:type="paragraph" w:styleId="ListParagraph">
    <w:name w:val="List Paragraph"/>
    <w:basedOn w:val="Normal"/>
    <w:uiPriority w:val="34"/>
    <w:qFormat/>
    <w:rsid w:val="000E735E"/>
    <w:pPr>
      <w:ind w:left="720"/>
      <w:contextualSpacing/>
    </w:pPr>
  </w:style>
  <w:style w:type="character" w:styleId="CommentReference">
    <w:name w:val="annotation reference"/>
    <w:basedOn w:val="DefaultParagraphFont"/>
    <w:uiPriority w:val="99"/>
    <w:semiHidden/>
    <w:unhideWhenUsed/>
    <w:rsid w:val="00FB2597"/>
    <w:rPr>
      <w:sz w:val="16"/>
      <w:szCs w:val="16"/>
    </w:rPr>
  </w:style>
  <w:style w:type="paragraph" w:styleId="CommentText">
    <w:name w:val="annotation text"/>
    <w:basedOn w:val="Normal"/>
    <w:link w:val="CommentTextChar"/>
    <w:uiPriority w:val="99"/>
    <w:semiHidden/>
    <w:unhideWhenUsed/>
    <w:rsid w:val="00FB2597"/>
    <w:pPr>
      <w:spacing w:line="240" w:lineRule="auto"/>
    </w:pPr>
    <w:rPr>
      <w:sz w:val="20"/>
      <w:szCs w:val="20"/>
    </w:rPr>
  </w:style>
  <w:style w:type="character" w:customStyle="1" w:styleId="CommentTextChar">
    <w:name w:val="Comment Text Char"/>
    <w:basedOn w:val="DefaultParagraphFont"/>
    <w:link w:val="CommentText"/>
    <w:uiPriority w:val="99"/>
    <w:semiHidden/>
    <w:rsid w:val="00FB2597"/>
    <w:rPr>
      <w:sz w:val="20"/>
      <w:szCs w:val="20"/>
    </w:rPr>
  </w:style>
  <w:style w:type="paragraph" w:styleId="CommentSubject">
    <w:name w:val="annotation subject"/>
    <w:basedOn w:val="CommentText"/>
    <w:next w:val="CommentText"/>
    <w:link w:val="CommentSubjectChar"/>
    <w:uiPriority w:val="99"/>
    <w:semiHidden/>
    <w:unhideWhenUsed/>
    <w:rsid w:val="00FB2597"/>
    <w:rPr>
      <w:b/>
      <w:bCs/>
    </w:rPr>
  </w:style>
  <w:style w:type="character" w:customStyle="1" w:styleId="CommentSubjectChar">
    <w:name w:val="Comment Subject Char"/>
    <w:basedOn w:val="CommentTextChar"/>
    <w:link w:val="CommentSubject"/>
    <w:uiPriority w:val="99"/>
    <w:semiHidden/>
    <w:rsid w:val="00FB2597"/>
    <w:rPr>
      <w:b/>
      <w:bCs/>
      <w:sz w:val="20"/>
      <w:szCs w:val="20"/>
    </w:rPr>
  </w:style>
  <w:style w:type="paragraph" w:styleId="BalloonText">
    <w:name w:val="Balloon Text"/>
    <w:basedOn w:val="Normal"/>
    <w:link w:val="BalloonTextChar"/>
    <w:uiPriority w:val="99"/>
    <w:semiHidden/>
    <w:unhideWhenUsed/>
    <w:rsid w:val="00FB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D3"/>
    <w:rPr>
      <w:color w:val="0000FF" w:themeColor="hyperlink"/>
      <w:u w:val="single"/>
    </w:rPr>
  </w:style>
  <w:style w:type="paragraph" w:styleId="ListParagraph">
    <w:name w:val="List Paragraph"/>
    <w:basedOn w:val="Normal"/>
    <w:uiPriority w:val="34"/>
    <w:qFormat/>
    <w:rsid w:val="000E735E"/>
    <w:pPr>
      <w:ind w:left="720"/>
      <w:contextualSpacing/>
    </w:pPr>
  </w:style>
  <w:style w:type="character" w:styleId="CommentReference">
    <w:name w:val="annotation reference"/>
    <w:basedOn w:val="DefaultParagraphFont"/>
    <w:uiPriority w:val="99"/>
    <w:semiHidden/>
    <w:unhideWhenUsed/>
    <w:rsid w:val="00FB2597"/>
    <w:rPr>
      <w:sz w:val="16"/>
      <w:szCs w:val="16"/>
    </w:rPr>
  </w:style>
  <w:style w:type="paragraph" w:styleId="CommentText">
    <w:name w:val="annotation text"/>
    <w:basedOn w:val="Normal"/>
    <w:link w:val="CommentTextChar"/>
    <w:uiPriority w:val="99"/>
    <w:semiHidden/>
    <w:unhideWhenUsed/>
    <w:rsid w:val="00FB2597"/>
    <w:pPr>
      <w:spacing w:line="240" w:lineRule="auto"/>
    </w:pPr>
    <w:rPr>
      <w:sz w:val="20"/>
      <w:szCs w:val="20"/>
    </w:rPr>
  </w:style>
  <w:style w:type="character" w:customStyle="1" w:styleId="CommentTextChar">
    <w:name w:val="Comment Text Char"/>
    <w:basedOn w:val="DefaultParagraphFont"/>
    <w:link w:val="CommentText"/>
    <w:uiPriority w:val="99"/>
    <w:semiHidden/>
    <w:rsid w:val="00FB2597"/>
    <w:rPr>
      <w:sz w:val="20"/>
      <w:szCs w:val="20"/>
    </w:rPr>
  </w:style>
  <w:style w:type="paragraph" w:styleId="CommentSubject">
    <w:name w:val="annotation subject"/>
    <w:basedOn w:val="CommentText"/>
    <w:next w:val="CommentText"/>
    <w:link w:val="CommentSubjectChar"/>
    <w:uiPriority w:val="99"/>
    <w:semiHidden/>
    <w:unhideWhenUsed/>
    <w:rsid w:val="00FB2597"/>
    <w:rPr>
      <w:b/>
      <w:bCs/>
    </w:rPr>
  </w:style>
  <w:style w:type="character" w:customStyle="1" w:styleId="CommentSubjectChar">
    <w:name w:val="Comment Subject Char"/>
    <w:basedOn w:val="CommentTextChar"/>
    <w:link w:val="CommentSubject"/>
    <w:uiPriority w:val="99"/>
    <w:semiHidden/>
    <w:rsid w:val="00FB2597"/>
    <w:rPr>
      <w:b/>
      <w:bCs/>
      <w:sz w:val="20"/>
      <w:szCs w:val="20"/>
    </w:rPr>
  </w:style>
  <w:style w:type="paragraph" w:styleId="BalloonText">
    <w:name w:val="Balloon Text"/>
    <w:basedOn w:val="Normal"/>
    <w:link w:val="BalloonTextChar"/>
    <w:uiPriority w:val="99"/>
    <w:semiHidden/>
    <w:unhideWhenUsed/>
    <w:rsid w:val="00FB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33747">
      <w:bodyDiv w:val="1"/>
      <w:marLeft w:val="0"/>
      <w:marRight w:val="0"/>
      <w:marTop w:val="0"/>
      <w:marBottom w:val="0"/>
      <w:divBdr>
        <w:top w:val="none" w:sz="0" w:space="0" w:color="auto"/>
        <w:left w:val="none" w:sz="0" w:space="0" w:color="auto"/>
        <w:bottom w:val="none" w:sz="0" w:space="0" w:color="auto"/>
        <w:right w:val="none" w:sz="0" w:space="0" w:color="auto"/>
      </w:divBdr>
    </w:div>
    <w:div w:id="167604463">
      <w:bodyDiv w:val="1"/>
      <w:marLeft w:val="0"/>
      <w:marRight w:val="0"/>
      <w:marTop w:val="0"/>
      <w:marBottom w:val="0"/>
      <w:divBdr>
        <w:top w:val="none" w:sz="0" w:space="0" w:color="auto"/>
        <w:left w:val="none" w:sz="0" w:space="0" w:color="auto"/>
        <w:bottom w:val="none" w:sz="0" w:space="0" w:color="auto"/>
        <w:right w:val="none" w:sz="0" w:space="0" w:color="auto"/>
      </w:divBdr>
    </w:div>
    <w:div w:id="726415107">
      <w:bodyDiv w:val="1"/>
      <w:marLeft w:val="0"/>
      <w:marRight w:val="0"/>
      <w:marTop w:val="0"/>
      <w:marBottom w:val="0"/>
      <w:divBdr>
        <w:top w:val="none" w:sz="0" w:space="0" w:color="auto"/>
        <w:left w:val="none" w:sz="0" w:space="0" w:color="auto"/>
        <w:bottom w:val="none" w:sz="0" w:space="0" w:color="auto"/>
        <w:right w:val="none" w:sz="0" w:space="0" w:color="auto"/>
      </w:divBdr>
    </w:div>
    <w:div w:id="779254226">
      <w:bodyDiv w:val="1"/>
      <w:marLeft w:val="0"/>
      <w:marRight w:val="0"/>
      <w:marTop w:val="0"/>
      <w:marBottom w:val="0"/>
      <w:divBdr>
        <w:top w:val="none" w:sz="0" w:space="0" w:color="auto"/>
        <w:left w:val="none" w:sz="0" w:space="0" w:color="auto"/>
        <w:bottom w:val="none" w:sz="0" w:space="0" w:color="auto"/>
        <w:right w:val="none" w:sz="0" w:space="0" w:color="auto"/>
      </w:divBdr>
    </w:div>
    <w:div w:id="1119641820">
      <w:bodyDiv w:val="1"/>
      <w:marLeft w:val="0"/>
      <w:marRight w:val="0"/>
      <w:marTop w:val="0"/>
      <w:marBottom w:val="0"/>
      <w:divBdr>
        <w:top w:val="none" w:sz="0" w:space="0" w:color="auto"/>
        <w:left w:val="none" w:sz="0" w:space="0" w:color="auto"/>
        <w:bottom w:val="none" w:sz="0" w:space="0" w:color="auto"/>
        <w:right w:val="none" w:sz="0" w:space="0" w:color="auto"/>
      </w:divBdr>
    </w:div>
    <w:div w:id="1966542555">
      <w:bodyDiv w:val="1"/>
      <w:marLeft w:val="0"/>
      <w:marRight w:val="0"/>
      <w:marTop w:val="0"/>
      <w:marBottom w:val="0"/>
      <w:divBdr>
        <w:top w:val="none" w:sz="0" w:space="0" w:color="auto"/>
        <w:left w:val="none" w:sz="0" w:space="0" w:color="auto"/>
        <w:bottom w:val="none" w:sz="0" w:space="0" w:color="auto"/>
        <w:right w:val="none" w:sz="0" w:space="0" w:color="auto"/>
      </w:divBdr>
    </w:div>
    <w:div w:id="19970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4093A-CA35-42A5-A6CE-2DB7087A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White</dc:creator>
  <cp:lastModifiedBy>gd6981</cp:lastModifiedBy>
  <cp:revision>2</cp:revision>
  <cp:lastPrinted>2012-04-27T19:55:00Z</cp:lastPrinted>
  <dcterms:created xsi:type="dcterms:W3CDTF">2012-05-08T20:02:00Z</dcterms:created>
  <dcterms:modified xsi:type="dcterms:W3CDTF">2012-05-08T20:02:00Z</dcterms:modified>
</cp:coreProperties>
</file>