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4E" w:rsidRPr="00955AA7" w:rsidRDefault="00DC6A4E" w:rsidP="00762D90">
      <w:pPr>
        <w:pStyle w:val="Caption"/>
        <w:framePr w:w="2667" w:h="12857" w:hRule="exact" w:hSpace="180" w:wrap="around" w:hAnchor="text" w:x="-1146" w:y="2160" w:anchorLock="1"/>
        <w:shd w:val="solid" w:color="FFFFFF" w:fill="FFFFFF"/>
        <w:spacing w:before="100" w:after="100"/>
        <w:suppressOverlap/>
        <w:rPr>
          <w:rFonts w:ascii="Goudy Old Style" w:hAnsi="Goudy Old Style" w:cs="Goudy Old Style"/>
          <w:bCs w:val="0"/>
          <w:color w:val="794037"/>
          <w:sz w:val="18"/>
          <w:szCs w:val="18"/>
        </w:rPr>
      </w:pPr>
      <w:bookmarkStart w:id="0" w:name="_GoBack"/>
      <w:bookmarkEnd w:id="0"/>
      <w:r w:rsidRPr="00955AA7">
        <w:rPr>
          <w:rFonts w:ascii="Goudy Old Style" w:hAnsi="Goudy Old Style" w:cs="Goudy Old Style"/>
          <w:bCs w:val="0"/>
          <w:color w:val="794037"/>
          <w:sz w:val="18"/>
          <w:szCs w:val="18"/>
        </w:rPr>
        <w:t>BOARD OF TRUSTEES</w:t>
      </w:r>
    </w:p>
    <w:p w:rsidR="00DC6A4E" w:rsidRPr="00F82B4B"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Nikki </w:t>
      </w:r>
      <w:proofErr w:type="spellStart"/>
      <w:r w:rsidRPr="00F62689">
        <w:rPr>
          <w:rFonts w:ascii="Goudy Old Style" w:hAnsi="Goudy Old Style"/>
          <w:color w:val="17365D"/>
          <w:sz w:val="16"/>
          <w:szCs w:val="16"/>
        </w:rPr>
        <w:t>Heidepriem</w:t>
      </w:r>
      <w:proofErr w:type="spellEnd"/>
      <w:r w:rsidRPr="00F62689">
        <w:rPr>
          <w:rFonts w:ascii="Goudy Old Style" w:hAnsi="Goudy Old Style"/>
          <w:color w:val="17365D"/>
          <w:sz w:val="16"/>
          <w:szCs w:val="16"/>
        </w:rPr>
        <w:t>, Chair</w:t>
      </w:r>
      <w:r w:rsidRPr="00F62689">
        <w:rPr>
          <w:rFonts w:ascii="Goudy Old Style" w:hAnsi="Goudy Old Style"/>
          <w:color w:val="17365D"/>
          <w:sz w:val="16"/>
          <w:szCs w:val="16"/>
        </w:rPr>
        <w:br/>
      </w:r>
      <w:proofErr w:type="spellStart"/>
      <w:r w:rsidRPr="00F82B4B">
        <w:rPr>
          <w:rFonts w:ascii="Goudy Old Style" w:hAnsi="Goudy Old Style" w:cs="Arial"/>
          <w:color w:val="17365D"/>
          <w:sz w:val="16"/>
          <w:szCs w:val="16"/>
        </w:rPr>
        <w:t>Heidepriem</w:t>
      </w:r>
      <w:proofErr w:type="spellEnd"/>
      <w:r w:rsidRPr="00F82B4B">
        <w:rPr>
          <w:rFonts w:ascii="Goudy Old Style" w:hAnsi="Goudy Old Style" w:cs="Arial"/>
          <w:color w:val="17365D"/>
          <w:sz w:val="16"/>
          <w:szCs w:val="16"/>
        </w:rPr>
        <w:t xml:space="preserve"> &amp; Associates</w:t>
      </w:r>
      <w:r>
        <w:rPr>
          <w:rFonts w:ascii="Goudy Old Style" w:hAnsi="Goudy Old Style" w:cs="Arial"/>
          <w:color w:val="17365D"/>
          <w:sz w:val="16"/>
          <w:szCs w:val="16"/>
        </w:rPr>
        <w:t>,</w:t>
      </w:r>
      <w:r w:rsidRPr="00F82B4B">
        <w:rPr>
          <w:rFonts w:ascii="Goudy Old Style" w:hAnsi="Goudy Old Style" w:cs="Arial"/>
          <w:color w:val="17365D"/>
          <w:sz w:val="16"/>
          <w:szCs w:val="16"/>
        </w:rPr>
        <w:t xml:space="preserve"> LLC</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Anita L. Allen</w:t>
      </w:r>
      <w:r w:rsidRPr="00F62689">
        <w:rPr>
          <w:rFonts w:ascii="Goudy Old Style" w:hAnsi="Goudy Old Style"/>
          <w:color w:val="17365D"/>
          <w:sz w:val="16"/>
          <w:szCs w:val="16"/>
        </w:rPr>
        <w:br/>
      </w:r>
      <w:r w:rsidRPr="00F82B4B">
        <w:rPr>
          <w:rFonts w:ascii="Goudy Old Style" w:hAnsi="Goudy Old Style" w:cs="Arial"/>
          <w:color w:val="17365D"/>
          <w:sz w:val="16"/>
          <w:szCs w:val="16"/>
        </w:rPr>
        <w:t>U</w:t>
      </w:r>
      <w:r>
        <w:rPr>
          <w:rFonts w:ascii="Goudy Old Style" w:hAnsi="Goudy Old Style" w:cs="Arial"/>
          <w:color w:val="17365D"/>
          <w:sz w:val="16"/>
          <w:szCs w:val="16"/>
        </w:rPr>
        <w:t>.</w:t>
      </w:r>
      <w:r w:rsidRPr="00F82B4B">
        <w:rPr>
          <w:rFonts w:ascii="Goudy Old Style" w:hAnsi="Goudy Old Style" w:cs="Arial"/>
          <w:color w:val="17365D"/>
          <w:sz w:val="16"/>
          <w:szCs w:val="16"/>
        </w:rPr>
        <w:t xml:space="preserve"> of Pennsylvania Law School</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David B. </w:t>
      </w:r>
      <w:proofErr w:type="spellStart"/>
      <w:r w:rsidRPr="00F62689">
        <w:rPr>
          <w:rFonts w:ascii="Goudy Old Style" w:hAnsi="Goudy Old Style"/>
          <w:color w:val="17365D"/>
          <w:sz w:val="16"/>
          <w:szCs w:val="16"/>
        </w:rPr>
        <w:t>Apatoff</w:t>
      </w:r>
      <w:proofErr w:type="spellEnd"/>
      <w:r w:rsidRPr="00F62689">
        <w:rPr>
          <w:rFonts w:ascii="Goudy Old Style" w:hAnsi="Goudy Old Style"/>
          <w:color w:val="17365D"/>
          <w:sz w:val="16"/>
          <w:szCs w:val="16"/>
        </w:rPr>
        <w:br/>
        <w:t>Arnold &amp; Porter</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Samuel R. </w:t>
      </w:r>
      <w:proofErr w:type="spellStart"/>
      <w:r w:rsidRPr="00F62689">
        <w:rPr>
          <w:rFonts w:ascii="Goudy Old Style" w:hAnsi="Goudy Old Style"/>
          <w:color w:val="17365D"/>
          <w:sz w:val="16"/>
          <w:szCs w:val="16"/>
        </w:rPr>
        <w:t>Bagenstos</w:t>
      </w:r>
      <w:proofErr w:type="spellEnd"/>
      <w:r w:rsidRPr="00F62689">
        <w:rPr>
          <w:rFonts w:ascii="Goudy Old Style" w:hAnsi="Goudy Old Style"/>
          <w:color w:val="17365D"/>
          <w:sz w:val="16"/>
          <w:szCs w:val="16"/>
        </w:rPr>
        <w:br/>
        <w:t>U</w:t>
      </w:r>
      <w:r>
        <w:rPr>
          <w:rFonts w:ascii="Goudy Old Style" w:hAnsi="Goudy Old Style"/>
          <w:color w:val="17365D"/>
          <w:sz w:val="16"/>
          <w:szCs w:val="16"/>
        </w:rPr>
        <w:t>niversity</w:t>
      </w:r>
      <w:r w:rsidRPr="00F62689">
        <w:rPr>
          <w:rFonts w:ascii="Goudy Old Style" w:hAnsi="Goudy Old Style"/>
          <w:color w:val="17365D"/>
          <w:sz w:val="16"/>
          <w:szCs w:val="16"/>
        </w:rPr>
        <w:t xml:space="preserve"> of Michigan Law School</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Dana </w:t>
      </w:r>
      <w:proofErr w:type="spellStart"/>
      <w:r w:rsidRPr="00F62689">
        <w:rPr>
          <w:rFonts w:ascii="Goudy Old Style" w:hAnsi="Goudy Old Style"/>
          <w:color w:val="17365D"/>
          <w:sz w:val="16"/>
          <w:szCs w:val="16"/>
        </w:rPr>
        <w:t>Bazelon</w:t>
      </w:r>
      <w:proofErr w:type="spellEnd"/>
      <w:r w:rsidRPr="00F62689">
        <w:rPr>
          <w:rFonts w:ascii="Goudy Old Style" w:hAnsi="Goudy Old Style"/>
          <w:color w:val="17365D"/>
          <w:sz w:val="16"/>
          <w:szCs w:val="16"/>
        </w:rPr>
        <w:br/>
        <w:t>Defender Assoc</w:t>
      </w:r>
      <w:r>
        <w:rPr>
          <w:rFonts w:ascii="Goudy Old Style" w:hAnsi="Goudy Old Style"/>
          <w:color w:val="17365D"/>
          <w:sz w:val="16"/>
          <w:szCs w:val="16"/>
        </w:rPr>
        <w:t>.</w:t>
      </w:r>
      <w:r w:rsidRPr="00F62689">
        <w:rPr>
          <w:rFonts w:ascii="Goudy Old Style" w:hAnsi="Goudy Old Style"/>
          <w:color w:val="17365D"/>
          <w:sz w:val="16"/>
          <w:szCs w:val="16"/>
        </w:rPr>
        <w:t xml:space="preserve"> of Philadelphia</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Eileen A. </w:t>
      </w:r>
      <w:proofErr w:type="spellStart"/>
      <w:r w:rsidRPr="00F62689">
        <w:rPr>
          <w:rFonts w:ascii="Goudy Old Style" w:hAnsi="Goudy Old Style"/>
          <w:color w:val="17365D"/>
          <w:sz w:val="16"/>
          <w:szCs w:val="16"/>
        </w:rPr>
        <w:t>Bazelon</w:t>
      </w:r>
      <w:proofErr w:type="spellEnd"/>
      <w:r w:rsidRPr="00F62689">
        <w:rPr>
          <w:rFonts w:ascii="Goudy Old Style" w:hAnsi="Goudy Old Style"/>
          <w:color w:val="17365D"/>
          <w:sz w:val="16"/>
          <w:szCs w:val="16"/>
        </w:rPr>
        <w:br/>
        <w:t xml:space="preserve">Department of Psychiatry, Drexel </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Robert A. Burt</w:t>
      </w:r>
      <w:r w:rsidRPr="00F62689">
        <w:rPr>
          <w:rFonts w:ascii="Goudy Old Style" w:hAnsi="Goudy Old Style"/>
          <w:color w:val="17365D"/>
          <w:sz w:val="16"/>
          <w:szCs w:val="16"/>
        </w:rPr>
        <w:br/>
        <w:t>Yale Law School</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Jacqueline Dryfoos</w:t>
      </w:r>
      <w:r w:rsidRPr="00F62689">
        <w:rPr>
          <w:rFonts w:ascii="Goudy Old Style" w:hAnsi="Goudy Old Style"/>
          <w:color w:val="17365D"/>
          <w:sz w:val="16"/>
          <w:szCs w:val="16"/>
        </w:rPr>
        <w:br/>
        <w:t>New York, NY</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Kenneth R. Feinberg</w:t>
      </w:r>
      <w:r w:rsidR="009B038B">
        <w:rPr>
          <w:rFonts w:ascii="Goudy Old Style" w:hAnsi="Goudy Old Style"/>
          <w:color w:val="17365D"/>
          <w:sz w:val="16"/>
          <w:szCs w:val="16"/>
        </w:rPr>
        <w:br/>
      </w:r>
      <w:proofErr w:type="spellStart"/>
      <w:r w:rsidRPr="00F62689">
        <w:rPr>
          <w:rFonts w:ascii="Goudy Old Style" w:hAnsi="Goudy Old Style"/>
          <w:color w:val="17365D"/>
          <w:sz w:val="16"/>
          <w:szCs w:val="16"/>
        </w:rPr>
        <w:t>Feinberg</w:t>
      </w:r>
      <w:proofErr w:type="spellEnd"/>
      <w:r w:rsidRPr="00F62689">
        <w:rPr>
          <w:rFonts w:ascii="Goudy Old Style" w:hAnsi="Goudy Old Style"/>
          <w:color w:val="17365D"/>
          <w:sz w:val="16"/>
          <w:szCs w:val="16"/>
        </w:rPr>
        <w:t xml:space="preserve"> </w:t>
      </w:r>
      <w:proofErr w:type="spellStart"/>
      <w:r w:rsidRPr="00F62689">
        <w:rPr>
          <w:rFonts w:ascii="Goudy Old Style" w:hAnsi="Goudy Old Style"/>
          <w:color w:val="17365D"/>
          <w:sz w:val="16"/>
          <w:szCs w:val="16"/>
        </w:rPr>
        <w:t>Rozen</w:t>
      </w:r>
      <w:proofErr w:type="spellEnd"/>
      <w:r w:rsidRPr="00F62689">
        <w:rPr>
          <w:rFonts w:ascii="Goudy Old Style" w:hAnsi="Goudy Old Style"/>
          <w:color w:val="17365D"/>
          <w:sz w:val="16"/>
          <w:szCs w:val="16"/>
        </w:rPr>
        <w:t>, LLP</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Pr>
          <w:rFonts w:ascii="Goudy Old Style" w:hAnsi="Goudy Old Style"/>
          <w:color w:val="17365D"/>
          <w:sz w:val="16"/>
          <w:szCs w:val="16"/>
        </w:rPr>
        <w:t>Howard H. Goldman, MD</w:t>
      </w:r>
      <w:r>
        <w:rPr>
          <w:rFonts w:ascii="Goudy Old Style" w:hAnsi="Goudy Old Style"/>
          <w:color w:val="17365D"/>
          <w:sz w:val="16"/>
          <w:szCs w:val="16"/>
        </w:rPr>
        <w:br/>
        <w:t>U. of Maryland</w:t>
      </w:r>
      <w:r w:rsidRPr="00F62689">
        <w:rPr>
          <w:rFonts w:ascii="Goudy Old Style" w:hAnsi="Goudy Old Style"/>
          <w:color w:val="17365D"/>
          <w:sz w:val="16"/>
          <w:szCs w:val="16"/>
        </w:rPr>
        <w:t xml:space="preserve"> School of Medicine</w:t>
      </w:r>
    </w:p>
    <w:p w:rsidR="00DC6A4E" w:rsidRPr="00F62689" w:rsidRDefault="00DC6A4E" w:rsidP="0052068D">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Jennifer A. </w:t>
      </w:r>
      <w:proofErr w:type="spellStart"/>
      <w:r w:rsidRPr="00F62689">
        <w:rPr>
          <w:rFonts w:ascii="Goudy Old Style" w:hAnsi="Goudy Old Style"/>
          <w:color w:val="17365D"/>
          <w:sz w:val="16"/>
          <w:szCs w:val="16"/>
        </w:rPr>
        <w:t>Gundlach</w:t>
      </w:r>
      <w:proofErr w:type="spellEnd"/>
      <w:r w:rsidRPr="00F62689">
        <w:rPr>
          <w:rFonts w:ascii="Goudy Old Style" w:hAnsi="Goudy Old Style"/>
          <w:color w:val="17365D"/>
          <w:sz w:val="16"/>
          <w:szCs w:val="16"/>
        </w:rPr>
        <w:br/>
        <w:t>Hofstra School of Law</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Stephen J. Morse</w:t>
      </w:r>
      <w:r w:rsidRPr="00F62689">
        <w:rPr>
          <w:rFonts w:ascii="Goudy Old Style" w:hAnsi="Goudy Old Style"/>
          <w:color w:val="17365D"/>
          <w:sz w:val="16"/>
          <w:szCs w:val="16"/>
        </w:rPr>
        <w:br/>
      </w:r>
      <w:r w:rsidRPr="00F82B4B">
        <w:rPr>
          <w:rFonts w:ascii="Goudy Old Style" w:hAnsi="Goudy Old Style" w:cs="Arial"/>
          <w:color w:val="17365D"/>
          <w:sz w:val="16"/>
          <w:szCs w:val="16"/>
        </w:rPr>
        <w:t>U</w:t>
      </w:r>
      <w:r>
        <w:rPr>
          <w:rFonts w:ascii="Goudy Old Style" w:hAnsi="Goudy Old Style" w:cs="Arial"/>
          <w:color w:val="17365D"/>
          <w:sz w:val="16"/>
          <w:szCs w:val="16"/>
        </w:rPr>
        <w:t>.</w:t>
      </w:r>
      <w:r w:rsidRPr="00F82B4B">
        <w:rPr>
          <w:rFonts w:ascii="Goudy Old Style" w:hAnsi="Goudy Old Style" w:cs="Arial"/>
          <w:color w:val="17365D"/>
          <w:sz w:val="16"/>
          <w:szCs w:val="16"/>
        </w:rPr>
        <w:t xml:space="preserve"> of Pennsylvania Law School</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Margaret E. O’Kane</w:t>
      </w:r>
      <w:r w:rsidRPr="00F62689">
        <w:rPr>
          <w:rFonts w:ascii="Goudy Old Style" w:hAnsi="Goudy Old Style"/>
          <w:color w:val="17365D"/>
          <w:sz w:val="16"/>
          <w:szCs w:val="16"/>
        </w:rPr>
        <w:br/>
        <w:t>NCQA</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Joseph G. </w:t>
      </w:r>
      <w:proofErr w:type="spellStart"/>
      <w:r w:rsidRPr="00F62689">
        <w:rPr>
          <w:rFonts w:ascii="Goudy Old Style" w:hAnsi="Goudy Old Style"/>
          <w:color w:val="17365D"/>
          <w:sz w:val="16"/>
          <w:szCs w:val="16"/>
        </w:rPr>
        <w:t>Perpich</w:t>
      </w:r>
      <w:proofErr w:type="spellEnd"/>
      <w:r w:rsidRPr="00F62689">
        <w:rPr>
          <w:rFonts w:ascii="Goudy Old Style" w:hAnsi="Goudy Old Style"/>
          <w:color w:val="17365D"/>
          <w:sz w:val="16"/>
          <w:szCs w:val="16"/>
        </w:rPr>
        <w:br/>
        <w:t xml:space="preserve">JG </w:t>
      </w:r>
      <w:proofErr w:type="spellStart"/>
      <w:r w:rsidRPr="00F62689">
        <w:rPr>
          <w:rFonts w:ascii="Goudy Old Style" w:hAnsi="Goudy Old Style"/>
          <w:color w:val="17365D"/>
          <w:sz w:val="16"/>
          <w:szCs w:val="16"/>
        </w:rPr>
        <w:t>Perpich</w:t>
      </w:r>
      <w:proofErr w:type="spellEnd"/>
      <w:r w:rsidRPr="00F62689">
        <w:rPr>
          <w:rFonts w:ascii="Goudy Old Style" w:hAnsi="Goudy Old Style"/>
          <w:color w:val="17365D"/>
          <w:sz w:val="16"/>
          <w:szCs w:val="16"/>
        </w:rPr>
        <w:t xml:space="preserve">, LLC </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Harvey Rosenthal</w:t>
      </w:r>
      <w:r w:rsidRPr="00F62689">
        <w:rPr>
          <w:rFonts w:ascii="Goudy Old Style" w:hAnsi="Goudy Old Style"/>
          <w:color w:val="17365D"/>
          <w:sz w:val="16"/>
          <w:szCs w:val="16"/>
        </w:rPr>
        <w:br/>
        <w:t>NYAPRS</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proofErr w:type="spellStart"/>
      <w:r w:rsidRPr="00F62689">
        <w:rPr>
          <w:rFonts w:ascii="Goudy Old Style" w:hAnsi="Goudy Old Style"/>
          <w:color w:val="17365D"/>
          <w:sz w:val="16"/>
          <w:szCs w:val="16"/>
        </w:rPr>
        <w:t>Elyn</w:t>
      </w:r>
      <w:proofErr w:type="spellEnd"/>
      <w:r w:rsidRPr="00F62689">
        <w:rPr>
          <w:rFonts w:ascii="Goudy Old Style" w:hAnsi="Goudy Old Style"/>
          <w:color w:val="17365D"/>
          <w:sz w:val="16"/>
          <w:szCs w:val="16"/>
        </w:rPr>
        <w:t xml:space="preserve"> R. Saks</w:t>
      </w:r>
      <w:r w:rsidRPr="00F62689">
        <w:rPr>
          <w:rFonts w:ascii="Goudy Old Style" w:hAnsi="Goudy Old Style"/>
          <w:color w:val="17365D"/>
          <w:sz w:val="16"/>
          <w:szCs w:val="16"/>
        </w:rPr>
        <w:br/>
        <w:t xml:space="preserve">USC Gould School of Law </w:t>
      </w:r>
    </w:p>
    <w:p w:rsidR="00DC6A4E" w:rsidRPr="00F62689"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Martin </w:t>
      </w:r>
      <w:proofErr w:type="spellStart"/>
      <w:r w:rsidRPr="00F62689">
        <w:rPr>
          <w:rFonts w:ascii="Goudy Old Style" w:hAnsi="Goudy Old Style"/>
          <w:color w:val="17365D"/>
          <w:sz w:val="16"/>
          <w:szCs w:val="16"/>
        </w:rPr>
        <w:t>Tolchin</w:t>
      </w:r>
      <w:proofErr w:type="spellEnd"/>
      <w:r w:rsidRPr="00F62689">
        <w:rPr>
          <w:rFonts w:ascii="Goudy Old Style" w:hAnsi="Goudy Old Style"/>
          <w:color w:val="17365D"/>
          <w:sz w:val="16"/>
          <w:szCs w:val="16"/>
        </w:rPr>
        <w:br/>
        <w:t>Washington, DC</w:t>
      </w:r>
    </w:p>
    <w:p w:rsidR="00DC6A4E" w:rsidRPr="00F62689" w:rsidRDefault="00DC6A4E" w:rsidP="009B038B">
      <w:pPr>
        <w:framePr w:w="2667" w:h="12857" w:hRule="exact" w:hSpace="180" w:wrap="around" w:vAnchor="page" w:hAnchor="text" w:x="-1146" w:y="2160" w:anchorLock="1"/>
        <w:shd w:val="solid" w:color="FFFFFF" w:fill="FFFFFF"/>
        <w:spacing w:after="120" w:line="240" w:lineRule="auto"/>
        <w:suppressOverlap/>
        <w:rPr>
          <w:rFonts w:ascii="Goudy Old Style" w:hAnsi="Goudy Old Style"/>
          <w:color w:val="17365D"/>
          <w:sz w:val="16"/>
          <w:szCs w:val="16"/>
        </w:rPr>
      </w:pPr>
      <w:r w:rsidRPr="00F62689">
        <w:rPr>
          <w:rFonts w:ascii="Goudy Old Style" w:hAnsi="Goudy Old Style"/>
          <w:color w:val="17365D"/>
          <w:sz w:val="16"/>
          <w:szCs w:val="16"/>
        </w:rPr>
        <w:t xml:space="preserve">Sally </w:t>
      </w:r>
      <w:proofErr w:type="spellStart"/>
      <w:r w:rsidRPr="00F62689">
        <w:rPr>
          <w:rFonts w:ascii="Goudy Old Style" w:hAnsi="Goudy Old Style"/>
          <w:color w:val="17365D"/>
          <w:sz w:val="16"/>
          <w:szCs w:val="16"/>
        </w:rPr>
        <w:t>Zinman</w:t>
      </w:r>
      <w:proofErr w:type="spellEnd"/>
      <w:r w:rsidRPr="00F62689">
        <w:rPr>
          <w:rFonts w:ascii="Goudy Old Style" w:hAnsi="Goudy Old Style"/>
          <w:color w:val="17365D"/>
          <w:sz w:val="16"/>
          <w:szCs w:val="16"/>
        </w:rPr>
        <w:br/>
        <w:t>Berkeley, CA</w:t>
      </w:r>
    </w:p>
    <w:p w:rsidR="00DC6A4E" w:rsidRPr="009A0D11" w:rsidRDefault="00DC6A4E" w:rsidP="00955AA7">
      <w:pPr>
        <w:pStyle w:val="Caption"/>
        <w:framePr w:w="2667" w:h="12857" w:hRule="exact" w:hSpace="180" w:wrap="around" w:hAnchor="text" w:x="-1146" w:y="2160" w:anchorLock="1"/>
        <w:shd w:val="solid" w:color="FFFFFF" w:fill="FFFFFF"/>
        <w:spacing w:after="60" w:line="240" w:lineRule="auto"/>
        <w:suppressOverlap/>
        <w:rPr>
          <w:rFonts w:ascii="Goudy Old Style" w:hAnsi="Goudy Old Style" w:cs="Goudy Old Style"/>
          <w:bCs w:val="0"/>
          <w:color w:val="794037"/>
        </w:rPr>
      </w:pPr>
      <w:r w:rsidRPr="009A0D11">
        <w:rPr>
          <w:rFonts w:ascii="Goudy Old Style" w:hAnsi="Goudy Old Style" w:cs="Goudy Old Style"/>
          <w:bCs w:val="0"/>
          <w:color w:val="794037"/>
        </w:rPr>
        <w:t>HONORARY TRUSTEE</w:t>
      </w:r>
    </w:p>
    <w:p w:rsidR="00DC6A4E" w:rsidRPr="00F62689" w:rsidRDefault="00DC6A4E" w:rsidP="009B038B">
      <w:pPr>
        <w:framePr w:w="2667" w:h="12857" w:hRule="exact" w:hSpace="180" w:wrap="around" w:vAnchor="page" w:hAnchor="text" w:x="-1146" w:y="2160" w:anchorLock="1"/>
        <w:shd w:val="solid" w:color="FFFFFF" w:fill="FFFFFF"/>
        <w:spacing w:after="120" w:line="240" w:lineRule="auto"/>
        <w:suppressOverlap/>
        <w:rPr>
          <w:rFonts w:ascii="Goudy Old Style" w:hAnsi="Goudy Old Style" w:cs="Goudy Old Style"/>
          <w:color w:val="17365D"/>
          <w:sz w:val="16"/>
          <w:szCs w:val="16"/>
        </w:rPr>
      </w:pPr>
      <w:r w:rsidRPr="00F62689">
        <w:rPr>
          <w:rFonts w:ascii="Goudy Old Style" w:hAnsi="Goudy Old Style" w:cs="Goudy Old Style"/>
          <w:color w:val="17365D"/>
          <w:sz w:val="16"/>
          <w:szCs w:val="16"/>
        </w:rPr>
        <w:t xml:space="preserve">Miriam </w:t>
      </w:r>
      <w:proofErr w:type="spellStart"/>
      <w:r w:rsidRPr="00F62689">
        <w:rPr>
          <w:rFonts w:ascii="Goudy Old Style" w:hAnsi="Goudy Old Style" w:cs="Goudy Old Style"/>
          <w:color w:val="17365D"/>
          <w:sz w:val="16"/>
          <w:szCs w:val="16"/>
        </w:rPr>
        <w:t>Bazelon</w:t>
      </w:r>
      <w:proofErr w:type="spellEnd"/>
      <w:r w:rsidRPr="00F62689">
        <w:rPr>
          <w:rFonts w:ascii="Goudy Old Style" w:hAnsi="Goudy Old Style" w:cs="Goudy Old Style"/>
          <w:color w:val="17365D"/>
          <w:sz w:val="16"/>
          <w:szCs w:val="16"/>
        </w:rPr>
        <w:t xml:space="preserve"> Knox</w:t>
      </w:r>
      <w:r w:rsidRPr="00F62689">
        <w:rPr>
          <w:rFonts w:ascii="Goudy Old Style" w:hAnsi="Goudy Old Style" w:cs="Goudy Old Style"/>
          <w:color w:val="17365D"/>
          <w:sz w:val="16"/>
          <w:szCs w:val="16"/>
        </w:rPr>
        <w:br/>
        <w:t>1914-2011</w:t>
      </w:r>
    </w:p>
    <w:p w:rsidR="00DC6A4E" w:rsidRPr="009A0D11" w:rsidRDefault="00DC6A4E" w:rsidP="00955AA7">
      <w:pPr>
        <w:framePr w:w="2667" w:h="12857" w:hRule="exact" w:hSpace="180" w:wrap="around" w:vAnchor="page" w:hAnchor="text" w:x="-1146" w:y="2160" w:anchorLock="1"/>
        <w:shd w:val="solid" w:color="FFFFFF" w:fill="FFFFFF"/>
        <w:spacing w:after="60" w:line="240" w:lineRule="auto"/>
        <w:suppressOverlap/>
        <w:rPr>
          <w:rFonts w:ascii="Goudy Old Style" w:hAnsi="Goudy Old Style" w:cs="Goudy Old Style"/>
          <w:b/>
          <w:color w:val="794037"/>
          <w:sz w:val="16"/>
          <w:szCs w:val="16"/>
        </w:rPr>
      </w:pPr>
      <w:r w:rsidRPr="009A0D11">
        <w:rPr>
          <w:rFonts w:ascii="Goudy Old Style" w:hAnsi="Goudy Old Style" w:cs="Goudy Old Style"/>
          <w:b/>
          <w:color w:val="794037"/>
          <w:sz w:val="16"/>
          <w:szCs w:val="16"/>
        </w:rPr>
        <w:t>TRUSTEES EMERITI</w:t>
      </w:r>
    </w:p>
    <w:p w:rsidR="00DC6A4E" w:rsidRDefault="00DC6A4E" w:rsidP="009B038B">
      <w:pPr>
        <w:framePr w:w="2667" w:h="12857" w:hRule="exact" w:hSpace="180" w:wrap="around" w:vAnchor="page" w:hAnchor="text" w:x="-1146" w:y="2160" w:anchorLock="1"/>
        <w:shd w:val="solid" w:color="FFFFFF" w:fill="FFFFFF"/>
        <w:spacing w:after="75" w:line="240" w:lineRule="auto"/>
        <w:suppressOverlap/>
        <w:rPr>
          <w:rFonts w:ascii="Goudy Old Style" w:hAnsi="Goudy Old Style" w:cs="Goudy Old Style"/>
          <w:iCs/>
          <w:color w:val="17365D"/>
          <w:sz w:val="16"/>
          <w:szCs w:val="16"/>
        </w:rPr>
      </w:pPr>
      <w:r w:rsidRPr="00F62689">
        <w:rPr>
          <w:rFonts w:ascii="Goudy Old Style" w:hAnsi="Goudy Old Style" w:cs="Goudy Old Style"/>
          <w:color w:val="17365D"/>
          <w:sz w:val="16"/>
          <w:szCs w:val="16"/>
        </w:rPr>
        <w:t>Mary Jane England</w:t>
      </w:r>
      <w:r w:rsidR="00B078BE">
        <w:rPr>
          <w:rFonts w:ascii="Goudy Old Style" w:hAnsi="Goudy Old Style" w:cs="Goudy Old Style"/>
          <w:color w:val="17365D"/>
          <w:sz w:val="16"/>
          <w:szCs w:val="16"/>
        </w:rPr>
        <w:br/>
      </w:r>
      <w:r w:rsidRPr="00F62689">
        <w:rPr>
          <w:rFonts w:ascii="Goudy Old Style" w:hAnsi="Goudy Old Style" w:cs="Goudy Old Style"/>
          <w:iCs/>
          <w:color w:val="17365D"/>
          <w:sz w:val="16"/>
          <w:szCs w:val="16"/>
        </w:rPr>
        <w:t>Regis College</w:t>
      </w:r>
    </w:p>
    <w:p w:rsidR="00B078BE" w:rsidRDefault="00B078BE" w:rsidP="009B038B">
      <w:pPr>
        <w:framePr w:w="2667" w:h="12857" w:hRule="exact" w:hSpace="180" w:wrap="around" w:vAnchor="page" w:hAnchor="text" w:x="-1146" w:y="2160" w:anchorLock="1"/>
        <w:autoSpaceDE w:val="0"/>
        <w:autoSpaceDN w:val="0"/>
        <w:adjustRightInd w:val="0"/>
        <w:spacing w:before="40" w:after="75" w:line="171" w:lineRule="atLeast"/>
        <w:suppressOverlap/>
        <w:rPr>
          <w:rFonts w:ascii="Goudy Old Style" w:hAnsi="Goudy Old Style" w:cs="Goudy Old Style"/>
          <w:color w:val="00354A"/>
          <w:sz w:val="16"/>
          <w:szCs w:val="16"/>
        </w:rPr>
      </w:pPr>
      <w:r w:rsidRPr="00B078BE">
        <w:rPr>
          <w:rFonts w:ascii="Goudy Old Style" w:hAnsi="Goudy Old Style" w:cs="Goudy Old Style"/>
          <w:color w:val="00354A"/>
          <w:sz w:val="16"/>
          <w:szCs w:val="16"/>
        </w:rPr>
        <w:t xml:space="preserve">Martha L. </w:t>
      </w:r>
      <w:proofErr w:type="spellStart"/>
      <w:r w:rsidRPr="00B078BE">
        <w:rPr>
          <w:rFonts w:ascii="Goudy Old Style" w:hAnsi="Goudy Old Style" w:cs="Goudy Old Style"/>
          <w:color w:val="00354A"/>
          <w:sz w:val="16"/>
          <w:szCs w:val="16"/>
        </w:rPr>
        <w:t>Minow</w:t>
      </w:r>
      <w:proofErr w:type="spellEnd"/>
      <w:r>
        <w:rPr>
          <w:rFonts w:ascii="Goudy Old Style" w:hAnsi="Goudy Old Style" w:cs="Goudy Old Style"/>
          <w:color w:val="00354A"/>
          <w:sz w:val="16"/>
          <w:szCs w:val="16"/>
        </w:rPr>
        <w:br/>
      </w:r>
      <w:r w:rsidRPr="00B078BE">
        <w:rPr>
          <w:rFonts w:ascii="Goudy Old Style" w:hAnsi="Goudy Old Style" w:cs="Goudy Old Style"/>
          <w:iCs/>
          <w:color w:val="00354A"/>
          <w:sz w:val="16"/>
          <w:szCs w:val="16"/>
        </w:rPr>
        <w:t>Harvard Law School</w:t>
      </w:r>
    </w:p>
    <w:p w:rsidR="00DC6A4E" w:rsidRPr="00B078BE" w:rsidRDefault="00DC6A4E" w:rsidP="00955AA7">
      <w:pPr>
        <w:framePr w:w="2667" w:h="12857" w:hRule="exact" w:hSpace="180" w:wrap="around" w:vAnchor="page" w:hAnchor="text" w:x="-1146" w:y="2160" w:anchorLock="1"/>
        <w:autoSpaceDE w:val="0"/>
        <w:autoSpaceDN w:val="0"/>
        <w:adjustRightInd w:val="0"/>
        <w:spacing w:before="45" w:after="120" w:line="171" w:lineRule="atLeast"/>
        <w:suppressOverlap/>
        <w:rPr>
          <w:rFonts w:ascii="Goudy Old Style" w:hAnsi="Goudy Old Style" w:cs="Goudy Old Style"/>
          <w:color w:val="00354A"/>
          <w:sz w:val="16"/>
          <w:szCs w:val="16"/>
        </w:rPr>
      </w:pPr>
      <w:r w:rsidRPr="00F62689">
        <w:rPr>
          <w:rFonts w:ascii="Goudy Old Style" w:hAnsi="Goudy Old Style" w:cs="Goudy Old Style"/>
          <w:iCs/>
          <w:color w:val="17365D"/>
          <w:sz w:val="16"/>
          <w:szCs w:val="16"/>
        </w:rPr>
        <w:t>H. Rutherford Turnbull</w:t>
      </w:r>
      <w:r w:rsidRPr="00F62689">
        <w:rPr>
          <w:rFonts w:ascii="Goudy Old Style" w:hAnsi="Goudy Old Style" w:cs="Goudy Old Style"/>
          <w:iCs/>
          <w:color w:val="17365D"/>
          <w:sz w:val="16"/>
          <w:szCs w:val="16"/>
        </w:rPr>
        <w:br/>
      </w:r>
      <w:r w:rsidRPr="00B078BE">
        <w:rPr>
          <w:rFonts w:ascii="Goudy Old Style" w:hAnsi="Goudy Old Style" w:cs="Goudy Old Style"/>
          <w:iCs/>
          <w:color w:val="17365D"/>
          <w:sz w:val="16"/>
          <w:szCs w:val="16"/>
        </w:rPr>
        <w:t>Beach Center for Family &amp; Disability</w:t>
      </w:r>
      <w:r w:rsidRPr="00F62689">
        <w:rPr>
          <w:rFonts w:ascii="Goudy Old Style" w:hAnsi="Goudy Old Style" w:cs="Goudy Old Style"/>
          <w:iCs/>
          <w:color w:val="17365D"/>
          <w:sz w:val="16"/>
          <w:szCs w:val="16"/>
        </w:rPr>
        <w:t xml:space="preserve"> </w:t>
      </w:r>
    </w:p>
    <w:p w:rsidR="00DC6A4E" w:rsidRPr="009A0D11" w:rsidRDefault="00DC6A4E" w:rsidP="00955AA7">
      <w:pPr>
        <w:framePr w:w="2667" w:h="12857" w:hRule="exact" w:hSpace="180" w:wrap="around" w:vAnchor="page" w:hAnchor="text" w:x="-1146" w:y="2160" w:anchorLock="1"/>
        <w:shd w:val="solid" w:color="FFFFFF" w:fill="FFFFFF"/>
        <w:spacing w:after="60" w:line="240" w:lineRule="auto"/>
        <w:suppressOverlap/>
        <w:rPr>
          <w:rFonts w:ascii="Goudy Old Style" w:hAnsi="Goudy Old Style" w:cs="Goudy Old Style"/>
          <w:b/>
          <w:bCs/>
          <w:color w:val="794037"/>
          <w:sz w:val="16"/>
          <w:szCs w:val="16"/>
        </w:rPr>
      </w:pPr>
      <w:proofErr w:type="gramStart"/>
      <w:r w:rsidRPr="009A0D11">
        <w:rPr>
          <w:rFonts w:ascii="Goudy Old Style" w:hAnsi="Goudy Old Style" w:cs="Goudy Old Style"/>
          <w:b/>
          <w:bCs/>
          <w:color w:val="794037"/>
          <w:sz w:val="16"/>
          <w:szCs w:val="16"/>
        </w:rPr>
        <w:t>PRESIDENT &amp;</w:t>
      </w:r>
      <w:proofErr w:type="gramEnd"/>
      <w:r w:rsidRPr="009A0D11">
        <w:rPr>
          <w:rFonts w:ascii="Goudy Old Style" w:hAnsi="Goudy Old Style" w:cs="Goudy Old Style"/>
          <w:b/>
          <w:bCs/>
          <w:color w:val="794037"/>
          <w:sz w:val="16"/>
          <w:szCs w:val="16"/>
        </w:rPr>
        <w:t xml:space="preserve"> CEO</w:t>
      </w:r>
    </w:p>
    <w:p w:rsidR="00DC6A4E" w:rsidRPr="00F62689" w:rsidRDefault="00DC6A4E" w:rsidP="00955AA7">
      <w:pPr>
        <w:framePr w:w="2667" w:h="12857" w:hRule="exact" w:hSpace="180" w:wrap="around" w:vAnchor="page" w:hAnchor="text" w:x="-1146" w:y="2160" w:anchorLock="1"/>
        <w:shd w:val="solid" w:color="FFFFFF" w:fill="FFFFFF"/>
        <w:spacing w:after="120" w:line="240" w:lineRule="auto"/>
        <w:suppressOverlap/>
        <w:rPr>
          <w:rFonts w:ascii="Goudy Old Style" w:hAnsi="Goudy Old Style" w:cs="Goudy Old Style"/>
          <w:color w:val="17365D"/>
          <w:sz w:val="16"/>
          <w:szCs w:val="16"/>
        </w:rPr>
      </w:pPr>
      <w:r w:rsidRPr="00F62689">
        <w:rPr>
          <w:rFonts w:ascii="Goudy Old Style" w:hAnsi="Goudy Old Style" w:cs="Goudy Old Style"/>
          <w:color w:val="17365D"/>
          <w:sz w:val="16"/>
          <w:szCs w:val="16"/>
        </w:rPr>
        <w:t>Robert Bernstein, PhD</w:t>
      </w:r>
    </w:p>
    <w:p w:rsidR="00DC6A4E" w:rsidRPr="00762D90" w:rsidRDefault="00DC6A4E" w:rsidP="00955AA7">
      <w:pPr>
        <w:framePr w:w="2667" w:h="12857" w:hRule="exact" w:hSpace="180" w:wrap="around" w:vAnchor="page" w:hAnchor="text" w:x="-1146" w:y="2160" w:anchorLock="1"/>
        <w:shd w:val="solid" w:color="FFFFFF" w:fill="FFFFFF"/>
        <w:spacing w:after="0" w:line="240" w:lineRule="auto"/>
        <w:suppressOverlap/>
        <w:rPr>
          <w:i/>
          <w:color w:val="794037"/>
          <w:sz w:val="16"/>
          <w:szCs w:val="16"/>
        </w:rPr>
      </w:pPr>
      <w:r w:rsidRPr="00762D90">
        <w:rPr>
          <w:rFonts w:ascii="Goudy Old Style" w:hAnsi="Goudy Old Style" w:cs="Goudy Old Style"/>
          <w:i/>
          <w:iCs/>
          <w:color w:val="794037"/>
          <w:sz w:val="16"/>
          <w:szCs w:val="16"/>
        </w:rPr>
        <w:t>Affiliations for informational purposes only</w:t>
      </w:r>
    </w:p>
    <w:p w:rsidR="00DC6A4E" w:rsidRPr="009B645E" w:rsidRDefault="00DC6A4E" w:rsidP="00353935">
      <w:pPr>
        <w:rPr>
          <w:rFonts w:ascii="Times New Roman" w:hAnsi="Times New Roman"/>
          <w:sz w:val="24"/>
          <w:szCs w:val="24"/>
        </w:rPr>
      </w:pPr>
    </w:p>
    <w:p w:rsidR="009B645E" w:rsidRPr="009B645E" w:rsidRDefault="009B645E" w:rsidP="009B645E">
      <w:pPr>
        <w:rPr>
          <w:rFonts w:ascii="Times New Roman" w:hAnsi="Times New Roman"/>
          <w:sz w:val="24"/>
          <w:szCs w:val="24"/>
        </w:rPr>
      </w:pPr>
      <w:r w:rsidRPr="009B645E">
        <w:rPr>
          <w:rFonts w:ascii="Times New Roman" w:hAnsi="Times New Roman"/>
          <w:sz w:val="24"/>
          <w:szCs w:val="24"/>
        </w:rPr>
        <w:t>June 19, 2015</w:t>
      </w:r>
    </w:p>
    <w:p w:rsidR="009B645E" w:rsidRDefault="009B645E" w:rsidP="00951C8B">
      <w:pPr>
        <w:spacing w:after="0"/>
        <w:rPr>
          <w:rFonts w:ascii="Times New Roman" w:hAnsi="Times New Roman"/>
          <w:sz w:val="24"/>
          <w:szCs w:val="24"/>
        </w:rPr>
      </w:pPr>
      <w:r w:rsidRPr="009B645E">
        <w:rPr>
          <w:rFonts w:ascii="Times New Roman" w:hAnsi="Times New Roman"/>
          <w:sz w:val="24"/>
          <w:szCs w:val="24"/>
        </w:rPr>
        <w:t>Bernadette Wilson</w:t>
      </w:r>
    </w:p>
    <w:p w:rsidR="009B645E" w:rsidRPr="009B645E" w:rsidRDefault="009B645E" w:rsidP="00951C8B">
      <w:pPr>
        <w:spacing w:after="0"/>
        <w:rPr>
          <w:rFonts w:ascii="Times New Roman" w:hAnsi="Times New Roman"/>
          <w:sz w:val="24"/>
          <w:szCs w:val="24"/>
        </w:rPr>
      </w:pPr>
      <w:r w:rsidRPr="009B645E">
        <w:rPr>
          <w:rFonts w:ascii="Times New Roman" w:hAnsi="Times New Roman"/>
          <w:sz w:val="24"/>
          <w:szCs w:val="24"/>
        </w:rPr>
        <w:t>Acting Executive Officer</w:t>
      </w:r>
    </w:p>
    <w:p w:rsidR="009B645E" w:rsidRPr="009B645E" w:rsidRDefault="009B645E" w:rsidP="00951C8B">
      <w:pPr>
        <w:spacing w:after="0"/>
        <w:rPr>
          <w:rFonts w:ascii="Times New Roman" w:hAnsi="Times New Roman"/>
          <w:sz w:val="24"/>
          <w:szCs w:val="24"/>
        </w:rPr>
      </w:pPr>
      <w:r w:rsidRPr="009B645E">
        <w:rPr>
          <w:rFonts w:ascii="Times New Roman" w:hAnsi="Times New Roman"/>
          <w:sz w:val="24"/>
          <w:szCs w:val="24"/>
        </w:rPr>
        <w:t>U.S. Equal Employment Opportunity Commission</w:t>
      </w:r>
    </w:p>
    <w:p w:rsidR="009B645E" w:rsidRPr="009B645E" w:rsidRDefault="009B645E" w:rsidP="00951C8B">
      <w:pPr>
        <w:spacing w:after="0"/>
        <w:rPr>
          <w:rFonts w:ascii="Times New Roman" w:hAnsi="Times New Roman"/>
          <w:sz w:val="24"/>
          <w:szCs w:val="24"/>
        </w:rPr>
      </w:pPr>
      <w:r w:rsidRPr="009B645E">
        <w:rPr>
          <w:rFonts w:ascii="Times New Roman" w:hAnsi="Times New Roman"/>
          <w:sz w:val="24"/>
          <w:szCs w:val="24"/>
        </w:rPr>
        <w:t>131 M Street NE</w:t>
      </w:r>
    </w:p>
    <w:p w:rsidR="009B645E" w:rsidRDefault="009B645E" w:rsidP="00951C8B">
      <w:pPr>
        <w:spacing w:after="0"/>
        <w:rPr>
          <w:rFonts w:ascii="Times New Roman" w:hAnsi="Times New Roman"/>
          <w:sz w:val="24"/>
          <w:szCs w:val="24"/>
        </w:rPr>
      </w:pPr>
      <w:r w:rsidRPr="009B645E">
        <w:rPr>
          <w:rFonts w:ascii="Times New Roman" w:hAnsi="Times New Roman"/>
          <w:sz w:val="24"/>
          <w:szCs w:val="24"/>
        </w:rPr>
        <w:t>Washington DC 20507</w:t>
      </w:r>
    </w:p>
    <w:p w:rsidR="00951C8B" w:rsidRPr="009B645E" w:rsidRDefault="00951C8B" w:rsidP="00951C8B">
      <w:pPr>
        <w:spacing w:after="0"/>
        <w:rPr>
          <w:rFonts w:ascii="Times New Roman" w:hAnsi="Times New Roman"/>
          <w:sz w:val="24"/>
          <w:szCs w:val="24"/>
        </w:rPr>
      </w:pPr>
    </w:p>
    <w:p w:rsidR="009B645E" w:rsidRDefault="009B645E" w:rsidP="00951C8B">
      <w:pPr>
        <w:autoSpaceDE w:val="0"/>
        <w:autoSpaceDN w:val="0"/>
        <w:adjustRightInd w:val="0"/>
        <w:spacing w:after="0"/>
        <w:ind w:left="2880"/>
        <w:rPr>
          <w:rFonts w:ascii="Times New Roman" w:hAnsi="Times New Roman"/>
          <w:b/>
          <w:bCs/>
          <w:i/>
          <w:sz w:val="24"/>
          <w:szCs w:val="24"/>
          <w:u w:val="single"/>
        </w:rPr>
      </w:pPr>
      <w:r w:rsidRPr="009B645E">
        <w:rPr>
          <w:rFonts w:ascii="Times New Roman" w:hAnsi="Times New Roman"/>
          <w:b/>
          <w:i/>
          <w:sz w:val="24"/>
          <w:szCs w:val="24"/>
        </w:rPr>
        <w:t xml:space="preserve">Re:  </w:t>
      </w:r>
      <w:r w:rsidRPr="009B645E">
        <w:rPr>
          <w:rFonts w:ascii="Times New Roman" w:hAnsi="Times New Roman"/>
          <w:b/>
          <w:i/>
          <w:sz w:val="24"/>
          <w:szCs w:val="24"/>
          <w:u w:val="single"/>
        </w:rPr>
        <w:t xml:space="preserve">Comments on Proposed Rule, </w:t>
      </w:r>
      <w:r w:rsidRPr="009B645E">
        <w:rPr>
          <w:rFonts w:ascii="Times New Roman" w:hAnsi="Times New Roman"/>
          <w:b/>
          <w:bCs/>
          <w:i/>
          <w:sz w:val="24"/>
          <w:szCs w:val="24"/>
          <w:u w:val="single"/>
        </w:rPr>
        <w:t>Amendments to Regulations</w:t>
      </w:r>
    </w:p>
    <w:p w:rsidR="009B645E" w:rsidRDefault="009B645E" w:rsidP="00951C8B">
      <w:pPr>
        <w:autoSpaceDE w:val="0"/>
        <w:autoSpaceDN w:val="0"/>
        <w:adjustRightInd w:val="0"/>
        <w:spacing w:after="0"/>
        <w:ind w:left="2880"/>
        <w:rPr>
          <w:rFonts w:ascii="Times New Roman" w:hAnsi="Times New Roman"/>
          <w:b/>
          <w:bCs/>
          <w:i/>
          <w:sz w:val="24"/>
          <w:szCs w:val="24"/>
          <w:u w:val="single"/>
        </w:rPr>
      </w:pPr>
      <w:r w:rsidRPr="009B645E">
        <w:rPr>
          <w:rFonts w:ascii="Times New Roman" w:hAnsi="Times New Roman"/>
          <w:b/>
          <w:bCs/>
          <w:i/>
          <w:sz w:val="24"/>
          <w:szCs w:val="24"/>
        </w:rPr>
        <w:t xml:space="preserve">       </w:t>
      </w:r>
      <w:r w:rsidRPr="009B645E">
        <w:rPr>
          <w:rFonts w:ascii="Times New Roman" w:hAnsi="Times New Roman"/>
          <w:b/>
          <w:bCs/>
          <w:i/>
          <w:sz w:val="24"/>
          <w:szCs w:val="24"/>
          <w:u w:val="single"/>
        </w:rPr>
        <w:t>Under the</w:t>
      </w:r>
      <w:r>
        <w:rPr>
          <w:rFonts w:ascii="Times New Roman" w:hAnsi="Times New Roman"/>
          <w:b/>
          <w:bCs/>
          <w:i/>
          <w:sz w:val="24"/>
          <w:szCs w:val="24"/>
          <w:u w:val="single"/>
        </w:rPr>
        <w:t xml:space="preserve"> </w:t>
      </w:r>
      <w:r w:rsidRPr="009B645E">
        <w:rPr>
          <w:rFonts w:ascii="Times New Roman" w:hAnsi="Times New Roman"/>
          <w:b/>
          <w:bCs/>
          <w:i/>
          <w:sz w:val="24"/>
          <w:szCs w:val="24"/>
          <w:u w:val="single"/>
        </w:rPr>
        <w:t xml:space="preserve">Americans </w:t>
      </w:r>
      <w:proofErr w:type="gramStart"/>
      <w:r w:rsidRPr="009B645E">
        <w:rPr>
          <w:rFonts w:ascii="Times New Roman" w:hAnsi="Times New Roman"/>
          <w:b/>
          <w:bCs/>
          <w:i/>
          <w:sz w:val="24"/>
          <w:szCs w:val="24"/>
          <w:u w:val="single"/>
        </w:rPr>
        <w:t>With</w:t>
      </w:r>
      <w:proofErr w:type="gramEnd"/>
      <w:r w:rsidRPr="009B645E">
        <w:rPr>
          <w:rFonts w:ascii="Times New Roman" w:hAnsi="Times New Roman"/>
          <w:b/>
          <w:bCs/>
          <w:i/>
          <w:sz w:val="24"/>
          <w:szCs w:val="24"/>
          <w:u w:val="single"/>
        </w:rPr>
        <w:t xml:space="preserve"> Disabilities Act, RIN 3046–AB01</w:t>
      </w:r>
    </w:p>
    <w:p w:rsidR="00951C8B" w:rsidRPr="009B645E" w:rsidRDefault="00951C8B" w:rsidP="00951C8B">
      <w:pPr>
        <w:autoSpaceDE w:val="0"/>
        <w:autoSpaceDN w:val="0"/>
        <w:adjustRightInd w:val="0"/>
        <w:spacing w:after="0"/>
        <w:ind w:left="2880"/>
        <w:rPr>
          <w:rFonts w:ascii="Times New Roman" w:hAnsi="Times New Roman"/>
          <w:b/>
          <w:bCs/>
          <w:i/>
          <w:sz w:val="24"/>
          <w:szCs w:val="24"/>
          <w:u w:val="single"/>
        </w:rPr>
      </w:pPr>
    </w:p>
    <w:p w:rsidR="00E95D04" w:rsidRDefault="00E95D04" w:rsidP="00951C8B">
      <w:pPr>
        <w:rPr>
          <w:rFonts w:ascii="Times New Roman" w:hAnsi="Times New Roman"/>
          <w:sz w:val="24"/>
          <w:szCs w:val="24"/>
        </w:rPr>
      </w:pPr>
      <w:r>
        <w:rPr>
          <w:rFonts w:ascii="Times New Roman" w:hAnsi="Times New Roman"/>
          <w:sz w:val="24"/>
          <w:szCs w:val="24"/>
        </w:rPr>
        <w:t>Dear Ms. Wilson:</w:t>
      </w:r>
    </w:p>
    <w:p w:rsidR="009B645E" w:rsidRPr="00951C8B" w:rsidRDefault="00951C8B" w:rsidP="00951C8B">
      <w:pPr>
        <w:rPr>
          <w:rFonts w:ascii="Times New Roman" w:hAnsi="Times New Roman"/>
          <w:sz w:val="24"/>
          <w:szCs w:val="24"/>
        </w:rPr>
      </w:pPr>
      <w:r w:rsidRPr="00951C8B">
        <w:rPr>
          <w:rFonts w:ascii="Times New Roman" w:hAnsi="Times New Roman"/>
          <w:sz w:val="24"/>
          <w:szCs w:val="24"/>
        </w:rPr>
        <w:t xml:space="preserve">The </w:t>
      </w:r>
      <w:proofErr w:type="spellStart"/>
      <w:r w:rsidRPr="00951C8B">
        <w:rPr>
          <w:rFonts w:ascii="Times New Roman" w:hAnsi="Times New Roman"/>
          <w:sz w:val="24"/>
          <w:szCs w:val="24"/>
        </w:rPr>
        <w:t>Bazelon</w:t>
      </w:r>
      <w:proofErr w:type="spellEnd"/>
      <w:r w:rsidRPr="00951C8B">
        <w:rPr>
          <w:rFonts w:ascii="Times New Roman" w:hAnsi="Times New Roman"/>
          <w:sz w:val="24"/>
          <w:szCs w:val="24"/>
        </w:rPr>
        <w:t xml:space="preserve"> Center for Mental Health Law </w:t>
      </w:r>
      <w:r w:rsidR="009B645E" w:rsidRPr="00951C8B">
        <w:rPr>
          <w:rFonts w:ascii="Times New Roman" w:hAnsi="Times New Roman"/>
          <w:sz w:val="24"/>
          <w:szCs w:val="24"/>
        </w:rPr>
        <w:t xml:space="preserve">submits these comments in response to the EEOC’s proposed rule concerning the ADA’s application to wellness programs.  </w:t>
      </w:r>
      <w:r w:rsidRPr="00951C8B">
        <w:rPr>
          <w:rFonts w:ascii="Times New Roman" w:hAnsi="Times New Roman"/>
          <w:sz w:val="24"/>
          <w:szCs w:val="24"/>
        </w:rPr>
        <w:t xml:space="preserve">The Center is a national nonprofit legal advocacy organization that promotes equal opportunity for individuals with mental disabilities in all aspects of life, including employment, education, housing, community living, </w:t>
      </w:r>
      <w:proofErr w:type="gramStart"/>
      <w:r w:rsidRPr="00951C8B">
        <w:rPr>
          <w:rFonts w:ascii="Times New Roman" w:hAnsi="Times New Roman"/>
          <w:sz w:val="24"/>
          <w:szCs w:val="24"/>
        </w:rPr>
        <w:t>health</w:t>
      </w:r>
      <w:proofErr w:type="gramEnd"/>
      <w:r w:rsidRPr="00951C8B">
        <w:rPr>
          <w:rFonts w:ascii="Times New Roman" w:hAnsi="Times New Roman"/>
          <w:sz w:val="24"/>
          <w:szCs w:val="24"/>
        </w:rPr>
        <w:t xml:space="preserve"> care, voting and family rights.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Commission’s proposed rule concerning the ADA’s application to wellness programs is inconsistent with the plain language of the ADA, and would change the Commission’s longstanding interpretation of the ADA by removing important employee protections.  If adopted, this proposed rule would significantly diminish the right of workers with disabilities to keep disability-related information unrelated to their job performance out of the hands of their employers and protect themselves from discrimination.  </w:t>
      </w:r>
    </w:p>
    <w:p w:rsidR="009B645E" w:rsidRPr="00951C8B" w:rsidRDefault="009B645E" w:rsidP="00951C8B">
      <w:pPr>
        <w:pStyle w:val="Default"/>
        <w:spacing w:after="200" w:line="276" w:lineRule="auto"/>
      </w:pPr>
      <w:r w:rsidRPr="00951C8B">
        <w:t xml:space="preserve">People with disabilities cannot afford to lose their jobs.  Individuals with disabilities have the lowest employment rates of any group tracked by the Bureau of Labor Statistics.  </w:t>
      </w:r>
      <w:r w:rsidRPr="00951C8B">
        <w:rPr>
          <w:bCs/>
        </w:rPr>
        <w:t>Less than 30 percent of working-age Americans with disabilities participate in the workforce, compared to</w:t>
      </w:r>
      <w:r w:rsidRPr="00951C8B">
        <w:rPr>
          <w:b/>
          <w:bCs/>
        </w:rPr>
        <w:t xml:space="preserve"> </w:t>
      </w:r>
      <w:r w:rsidRPr="00951C8B">
        <w:t>over 78 percent of non-disabled Americans.</w:t>
      </w:r>
      <w:r w:rsidRPr="00951C8B">
        <w:rPr>
          <w:rStyle w:val="FootnoteReference"/>
        </w:rPr>
        <w:footnoteReference w:id="1"/>
      </w:r>
      <w:r w:rsidRPr="00951C8B">
        <w:t xml:space="preserve">  More than 28% of working-age Americans with </w:t>
      </w:r>
      <w:r w:rsidRPr="00951C8B">
        <w:lastRenderedPageBreak/>
        <w:t>disabilities live in poverty—more than twice as many as Americans without disabilities.</w:t>
      </w:r>
      <w:r w:rsidRPr="00951C8B">
        <w:rPr>
          <w:rStyle w:val="FootnoteReference"/>
        </w:rPr>
        <w:footnoteReference w:id="2"/>
      </w:r>
      <w:r w:rsidRPr="00951C8B">
        <w:t xml:space="preserve">  The Commission’s proposal to take away workplace protections and make it easier for employers to discriminate against workers with disabilities is extremely troubling.  </w:t>
      </w:r>
    </w:p>
    <w:p w:rsidR="009B645E" w:rsidRPr="00951C8B" w:rsidRDefault="009B645E" w:rsidP="00951C8B">
      <w:pPr>
        <w:pStyle w:val="Default"/>
        <w:spacing w:after="200" w:line="276" w:lineRule="auto"/>
      </w:pPr>
      <w:r w:rsidRPr="00951C8B">
        <w:t xml:space="preserve">The Commission proposes to define “voluntary” medical inquiries in an employee health program to permit penalties that would more than double what most employees pay for their health insurance if they decline to answer.  This definition is so far afield from the ordinary meaning of “voluntary” that it is an invalid interpretation of the statute.  </w:t>
      </w:r>
      <w:r w:rsidRPr="00951C8B">
        <w:rPr>
          <w:i/>
        </w:rPr>
        <w:t>See General Dynamics Land System v. Cline</w:t>
      </w:r>
      <w:r w:rsidRPr="00951C8B">
        <w:t xml:space="preserve">, 540 U.S. 581, 600 (2004) (no level of deference to EEOC’s rulemaking is appropriate when the Commission’s interpretation of a statute “is clearly wrong.”).  The protections proposed by the Commission to mitigate the harm that might be caused by the rule are inadequate to remedy that harm.  </w:t>
      </w:r>
    </w:p>
    <w:p w:rsidR="009B645E" w:rsidRPr="00951C8B" w:rsidRDefault="009B645E" w:rsidP="00951C8B">
      <w:pPr>
        <w:pStyle w:val="ListParagraph"/>
        <w:numPr>
          <w:ilvl w:val="0"/>
          <w:numId w:val="8"/>
        </w:numPr>
        <w:rPr>
          <w:rFonts w:ascii="Times New Roman" w:hAnsi="Times New Roman"/>
          <w:b/>
          <w:sz w:val="24"/>
          <w:szCs w:val="24"/>
          <w:u w:val="single"/>
        </w:rPr>
      </w:pPr>
      <w:r w:rsidRPr="00951C8B">
        <w:rPr>
          <w:rFonts w:ascii="Times New Roman" w:hAnsi="Times New Roman"/>
          <w:b/>
          <w:sz w:val="24"/>
          <w:szCs w:val="24"/>
          <w:u w:val="single"/>
        </w:rPr>
        <w:t>The ADA Requires Workplace Wellness Program Medical Inquiries and Exams to be Voluntary</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The Americans with Disabilities Act (ADA) prohibits employers from subjecting employees to medical inquiries or exams that are not job-related and consistent with business necessity, unless they are “</w:t>
      </w:r>
      <w:r w:rsidRPr="00951C8B">
        <w:rPr>
          <w:rFonts w:ascii="Times New Roman" w:hAnsi="Times New Roman"/>
          <w:i/>
          <w:sz w:val="24"/>
          <w:szCs w:val="24"/>
        </w:rPr>
        <w:t>voluntary</w:t>
      </w:r>
      <w:r w:rsidRPr="00951C8B">
        <w:rPr>
          <w:rFonts w:ascii="Times New Roman" w:hAnsi="Times New Roman"/>
          <w:sz w:val="24"/>
          <w:szCs w:val="24"/>
        </w:rPr>
        <w:t xml:space="preserve"> medical examinations, including </w:t>
      </w:r>
      <w:r w:rsidRPr="00951C8B">
        <w:rPr>
          <w:rFonts w:ascii="Times New Roman" w:hAnsi="Times New Roman"/>
          <w:i/>
          <w:sz w:val="24"/>
          <w:szCs w:val="24"/>
        </w:rPr>
        <w:t>voluntary</w:t>
      </w:r>
      <w:r w:rsidRPr="00951C8B">
        <w:rPr>
          <w:rFonts w:ascii="Times New Roman" w:hAnsi="Times New Roman"/>
          <w:sz w:val="24"/>
          <w:szCs w:val="24"/>
        </w:rPr>
        <w:t xml:space="preserve"> medical histories, which are part of an employee health program available to employees at that work site.”</w:t>
      </w:r>
      <w:r w:rsidRPr="00951C8B">
        <w:rPr>
          <w:rStyle w:val="FootnoteReference"/>
          <w:rFonts w:ascii="Times New Roman" w:hAnsi="Times New Roman"/>
          <w:sz w:val="24"/>
          <w:szCs w:val="24"/>
        </w:rPr>
        <w:footnoteReference w:id="3"/>
      </w:r>
      <w:r w:rsidRPr="00951C8B">
        <w:rPr>
          <w:rFonts w:ascii="Times New Roman" w:hAnsi="Times New Roman"/>
          <w:sz w:val="24"/>
          <w:szCs w:val="24"/>
        </w:rPr>
        <w:t xml:space="preserve">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For the last 15 years, the EEOC has defined “voluntary” for purposes of this provision to mean that an employer may neither require participation nor penalize employees who do not participate.</w:t>
      </w:r>
      <w:r w:rsidRPr="00951C8B">
        <w:rPr>
          <w:rStyle w:val="FootnoteReference"/>
          <w:rFonts w:ascii="Times New Roman" w:hAnsi="Times New Roman"/>
          <w:sz w:val="24"/>
          <w:szCs w:val="24"/>
        </w:rPr>
        <w:footnoteReference w:id="4"/>
      </w:r>
      <w:r w:rsidRPr="00951C8B">
        <w:rPr>
          <w:rFonts w:ascii="Times New Roman" w:hAnsi="Times New Roman"/>
          <w:sz w:val="24"/>
          <w:szCs w:val="24"/>
        </w:rPr>
        <w:t xml:space="preserve">  In 2009, Chair </w:t>
      </w:r>
      <w:proofErr w:type="spellStart"/>
      <w:r w:rsidRPr="00951C8B">
        <w:rPr>
          <w:rFonts w:ascii="Times New Roman" w:hAnsi="Times New Roman"/>
          <w:sz w:val="24"/>
          <w:szCs w:val="24"/>
        </w:rPr>
        <w:t>Ishimaru</w:t>
      </w:r>
      <w:proofErr w:type="spellEnd"/>
      <w:r w:rsidRPr="00951C8B">
        <w:rPr>
          <w:rFonts w:ascii="Times New Roman" w:hAnsi="Times New Roman"/>
          <w:sz w:val="24"/>
          <w:szCs w:val="24"/>
        </w:rPr>
        <w:t xml:space="preserve"> and Vice Chair Griffin issued a letter concluding that a wellness program that included a premium discount of 10% for filling out a health risk assessment that asks about current health status would likely violate the ADA by imposing higher health insurance costs on employees who decline to answer questions about their current health status or undergo medical exams.</w:t>
      </w:r>
      <w:r w:rsidRPr="00951C8B">
        <w:rPr>
          <w:rStyle w:val="FootnoteReference"/>
          <w:rFonts w:ascii="Times New Roman" w:hAnsi="Times New Roman"/>
          <w:sz w:val="24"/>
          <w:szCs w:val="24"/>
        </w:rPr>
        <w:footnoteReference w:id="5"/>
      </w:r>
      <w:r w:rsidRPr="00951C8B">
        <w:rPr>
          <w:rFonts w:ascii="Times New Roman" w:hAnsi="Times New Roman"/>
          <w:sz w:val="24"/>
          <w:szCs w:val="24"/>
        </w:rPr>
        <w:t xml:space="preserve">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lastRenderedPageBreak/>
        <w:t xml:space="preserve">The ADA’s medical inquiries provisions are part of a detailed scheme that Congress enacted to limit employer access to medical information from employees and applicants.  Such limits are a core protection of the ADA.  Congress prohibited medical inquiries and medical exams of employees that are not job-related and consistent with business necessity in order to prevent discrimination.  See S. Rep. 101-116, at 39-40 (1989) (“An inquiry or medical examination that is not job-related serves no legitimate employer purpose, but simply serves to stigmatize the person with a disability. . . . As was abundantly clear before the Committee, being identified as disabled often carries both blatant and subtle stigma. An employer’s legitimate needs will be met by allowing the medical inquiries and examinations which are job-related.”). </w:t>
      </w:r>
    </w:p>
    <w:p w:rsidR="009B645E" w:rsidRPr="00951C8B" w:rsidRDefault="009B645E" w:rsidP="00951C8B">
      <w:pPr>
        <w:pStyle w:val="Default"/>
        <w:spacing w:after="200" w:line="276" w:lineRule="auto"/>
      </w:pPr>
      <w:r w:rsidRPr="00951C8B">
        <w:t xml:space="preserve">As the EEOC noted in its guidance concerning disability-related inquiries of employees: </w:t>
      </w:r>
    </w:p>
    <w:p w:rsidR="009B645E" w:rsidRPr="00951C8B" w:rsidRDefault="009B645E" w:rsidP="00951C8B">
      <w:pPr>
        <w:ind w:left="432" w:right="720"/>
        <w:rPr>
          <w:rFonts w:ascii="Times New Roman" w:hAnsi="Times New Roman"/>
          <w:sz w:val="24"/>
          <w:szCs w:val="24"/>
        </w:rPr>
      </w:pPr>
      <w:r w:rsidRPr="00951C8B">
        <w:rPr>
          <w:rFonts w:ascii="Times New Roman" w:hAnsi="Times New Roman"/>
          <w:sz w:val="24"/>
          <w:szCs w:val="24"/>
        </w:rPr>
        <w:t>Historically, many employers asked applicants and employees to provide information concerning their physical and/or mental condition. This information often was used to exclude and otherwise discriminate against individuals with disabilities -- particularly nonvisible disabilities, such as diabetes, epilepsy, heart disease, cancer, and mental illness -- despite their ability to perform the job. The ADA’s provisions concerning disability-related inquiries and medical examinations reflect Congress's intent to protect the rights of applicants and employees to be assessed on merit alone, while protecting the rights of employers to ensure that individuals in the workplace can efficiently perform the essential functions of their jobs.</w:t>
      </w:r>
      <w:r w:rsidRPr="00951C8B">
        <w:rPr>
          <w:rStyle w:val="FootnoteReference"/>
          <w:rFonts w:ascii="Times New Roman" w:hAnsi="Times New Roman"/>
          <w:sz w:val="24"/>
          <w:szCs w:val="24"/>
        </w:rPr>
        <w:footnoteReference w:id="6"/>
      </w:r>
      <w:r w:rsidRPr="00951C8B">
        <w:rPr>
          <w:rFonts w:ascii="Times New Roman" w:hAnsi="Times New Roman"/>
          <w:sz w:val="24"/>
          <w:szCs w:val="24"/>
        </w:rPr>
        <w:t xml:space="preserve">  </w:t>
      </w:r>
    </w:p>
    <w:p w:rsidR="009B645E" w:rsidRPr="00951C8B" w:rsidRDefault="009B645E" w:rsidP="00951C8B">
      <w:pPr>
        <w:pStyle w:val="ListParagraph"/>
        <w:numPr>
          <w:ilvl w:val="0"/>
          <w:numId w:val="8"/>
        </w:numPr>
        <w:rPr>
          <w:rFonts w:ascii="Times New Roman" w:hAnsi="Times New Roman"/>
          <w:b/>
          <w:sz w:val="24"/>
          <w:szCs w:val="24"/>
          <w:u w:val="single"/>
        </w:rPr>
      </w:pPr>
      <w:r w:rsidRPr="00951C8B">
        <w:rPr>
          <w:rFonts w:ascii="Times New Roman" w:hAnsi="Times New Roman"/>
          <w:b/>
          <w:sz w:val="24"/>
          <w:szCs w:val="24"/>
          <w:u w:val="single"/>
        </w:rPr>
        <w:t xml:space="preserve">The EEOC’s </w:t>
      </w:r>
      <w:r w:rsidR="00284702">
        <w:rPr>
          <w:rFonts w:ascii="Times New Roman" w:hAnsi="Times New Roman"/>
          <w:b/>
          <w:sz w:val="24"/>
          <w:szCs w:val="24"/>
          <w:u w:val="single"/>
        </w:rPr>
        <w:t xml:space="preserve">New </w:t>
      </w:r>
      <w:r w:rsidRPr="00951C8B">
        <w:rPr>
          <w:rFonts w:ascii="Times New Roman" w:hAnsi="Times New Roman"/>
          <w:b/>
          <w:sz w:val="24"/>
          <w:szCs w:val="24"/>
          <w:u w:val="single"/>
        </w:rPr>
        <w:t>Interpretation of “Voluntary” is Inconsistent with the Statute</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The proposed rule seeks to change the EEOC’s definition of what is a voluntary inquiry, allowing employers to use steep financial penalties in wellness programs to force workers to disclose sensitive medical information to their employers.  Without directly saying that it is abandoning its prior position that a voluntary wellness program inquiry cannot involve penalties, the Commission does exactly that.  The Commission says that it must interpret the ADA “in light of” the Affordable Care Act’s provisions permitting penalties of up to 30% of an employee’s health insurance premiums in certain types of wellness programs.  The Commission interprets the ADA to permit penalties</w:t>
      </w:r>
      <w:r w:rsidRPr="00951C8B">
        <w:rPr>
          <w:rStyle w:val="FootnoteReference"/>
          <w:rFonts w:ascii="Times New Roman" w:hAnsi="Times New Roman"/>
          <w:sz w:val="24"/>
          <w:szCs w:val="24"/>
        </w:rPr>
        <w:footnoteReference w:id="7"/>
      </w:r>
      <w:r w:rsidRPr="00951C8B">
        <w:rPr>
          <w:rFonts w:ascii="Times New Roman" w:hAnsi="Times New Roman"/>
          <w:sz w:val="24"/>
          <w:szCs w:val="24"/>
        </w:rPr>
        <w:t xml:space="preserve"> of up to the same amount on workers who decline to answer wellness program medical inquiries that the ADA requires to be voluntary.  </w:t>
      </w:r>
    </w:p>
    <w:p w:rsidR="009B645E" w:rsidRPr="00951C8B" w:rsidRDefault="009B645E" w:rsidP="00951C8B">
      <w:pPr>
        <w:pStyle w:val="ListParagraph"/>
        <w:numPr>
          <w:ilvl w:val="0"/>
          <w:numId w:val="9"/>
        </w:numPr>
        <w:rPr>
          <w:rFonts w:ascii="Times New Roman" w:hAnsi="Times New Roman"/>
          <w:i/>
          <w:sz w:val="24"/>
          <w:szCs w:val="24"/>
        </w:rPr>
      </w:pPr>
      <w:r w:rsidRPr="00951C8B">
        <w:rPr>
          <w:rFonts w:ascii="Times New Roman" w:hAnsi="Times New Roman"/>
          <w:i/>
          <w:sz w:val="24"/>
          <w:szCs w:val="24"/>
        </w:rPr>
        <w:lastRenderedPageBreak/>
        <w:t>The ADA’s Plain Language and the EEOC’s Existing Longstanding Guidance Forbid Penalties on Medical Inquiries that are Not Job-Related</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plain language of the ADA requires that a medical inquiry or exam that is not job-related may be asked as part of an employee health program (including a wellness program) only if it is </w:t>
      </w:r>
      <w:r w:rsidRPr="00951C8B">
        <w:rPr>
          <w:rFonts w:ascii="Times New Roman" w:hAnsi="Times New Roman"/>
          <w:i/>
          <w:sz w:val="24"/>
          <w:szCs w:val="24"/>
        </w:rPr>
        <w:t>voluntary</w:t>
      </w:r>
      <w:r w:rsidRPr="00951C8B">
        <w:rPr>
          <w:rFonts w:ascii="Times New Roman" w:hAnsi="Times New Roman"/>
          <w:sz w:val="24"/>
          <w:szCs w:val="24"/>
        </w:rPr>
        <w:t>.</w:t>
      </w:r>
      <w:r w:rsidRPr="00951C8B">
        <w:rPr>
          <w:rStyle w:val="FootnoteReference"/>
          <w:rFonts w:ascii="Times New Roman" w:hAnsi="Times New Roman"/>
          <w:sz w:val="24"/>
          <w:szCs w:val="24"/>
        </w:rPr>
        <w:footnoteReference w:id="8"/>
      </w:r>
      <w:r w:rsidRPr="00951C8B">
        <w:rPr>
          <w:rFonts w:ascii="Times New Roman" w:hAnsi="Times New Roman"/>
          <w:sz w:val="24"/>
          <w:szCs w:val="24"/>
        </w:rPr>
        <w:t xml:space="preserve">  Since 2000, the Commission has taken the position that voluntariness means that an employer may neither require workers to participate nor penalize them for not doing so.</w:t>
      </w:r>
      <w:r w:rsidRPr="00951C8B">
        <w:rPr>
          <w:rStyle w:val="FootnoteReference"/>
          <w:rFonts w:ascii="Times New Roman" w:hAnsi="Times New Roman"/>
          <w:sz w:val="24"/>
          <w:szCs w:val="24"/>
        </w:rPr>
        <w:footnoteReference w:id="9"/>
      </w:r>
      <w:r w:rsidRPr="00951C8B">
        <w:rPr>
          <w:rFonts w:ascii="Times New Roman" w:hAnsi="Times New Roman"/>
          <w:sz w:val="24"/>
          <w:szCs w:val="24"/>
        </w:rPr>
        <w:t xml:space="preserve">  Thus, medical questions that an employee is financially induced to answer – through penalties or rewards – are not voluntary.</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This definition is consistent with the ordinary meaning of “voluntary”:  “not impelled by outside influence” and “[w]</w:t>
      </w:r>
      <w:proofErr w:type="spellStart"/>
      <w:r w:rsidRPr="00951C8B">
        <w:rPr>
          <w:rFonts w:ascii="Times New Roman" w:hAnsi="Times New Roman"/>
          <w:sz w:val="24"/>
          <w:szCs w:val="24"/>
        </w:rPr>
        <w:t>ithout</w:t>
      </w:r>
      <w:proofErr w:type="spellEnd"/>
      <w:r w:rsidRPr="00951C8B">
        <w:rPr>
          <w:rFonts w:ascii="Times New Roman" w:hAnsi="Times New Roman"/>
          <w:sz w:val="24"/>
          <w:szCs w:val="24"/>
        </w:rPr>
        <w:t xml:space="preserve"> valuable consideration.”  </w:t>
      </w:r>
      <w:r w:rsidRPr="00951C8B">
        <w:rPr>
          <w:rFonts w:ascii="Times New Roman" w:hAnsi="Times New Roman"/>
          <w:i/>
          <w:sz w:val="24"/>
          <w:szCs w:val="24"/>
        </w:rPr>
        <w:t>Black’s Law Dictionary</w:t>
      </w:r>
      <w:r w:rsidRPr="00951C8B">
        <w:rPr>
          <w:rFonts w:ascii="Times New Roman" w:hAnsi="Times New Roman"/>
          <w:sz w:val="24"/>
          <w:szCs w:val="24"/>
        </w:rPr>
        <w:t xml:space="preserve"> (9th ed. 2009).  </w:t>
      </w:r>
      <w:r w:rsidRPr="00951C8B">
        <w:rPr>
          <w:rFonts w:ascii="Times New Roman" w:hAnsi="Times New Roman"/>
          <w:i/>
          <w:sz w:val="24"/>
          <w:szCs w:val="24"/>
        </w:rPr>
        <w:t>See also Merriam Webster Dictionary</w:t>
      </w:r>
      <w:r w:rsidRPr="00951C8B">
        <w:rPr>
          <w:rFonts w:ascii="Times New Roman" w:hAnsi="Times New Roman"/>
          <w:sz w:val="24"/>
          <w:szCs w:val="24"/>
        </w:rPr>
        <w:t xml:space="preserve"> (“unconstrained by interference” and “without valuable consideration”).  Absent a statutory definition of “voluntary,” it must be construed “in accordance with its ordinary or natural meaning.”  </w:t>
      </w:r>
      <w:r w:rsidRPr="00951C8B">
        <w:rPr>
          <w:rFonts w:ascii="Times New Roman" w:hAnsi="Times New Roman"/>
          <w:i/>
          <w:sz w:val="24"/>
          <w:szCs w:val="24"/>
        </w:rPr>
        <w:t xml:space="preserve">FDIC v. Meyer, </w:t>
      </w:r>
      <w:r w:rsidRPr="00951C8B">
        <w:rPr>
          <w:rFonts w:ascii="Times New Roman" w:hAnsi="Times New Roman"/>
          <w:sz w:val="24"/>
          <w:szCs w:val="24"/>
        </w:rPr>
        <w:t xml:space="preserve">510 U.S. 471, 476 (1994).  </w:t>
      </w:r>
      <w:r w:rsidRPr="00951C8B">
        <w:rPr>
          <w:rFonts w:ascii="Times New Roman" w:hAnsi="Times New Roman"/>
          <w:i/>
          <w:sz w:val="24"/>
          <w:szCs w:val="24"/>
        </w:rPr>
        <w:t>See also</w:t>
      </w:r>
      <w:r w:rsidRPr="00951C8B">
        <w:rPr>
          <w:rFonts w:ascii="Times New Roman" w:hAnsi="Times New Roman"/>
          <w:sz w:val="24"/>
          <w:szCs w:val="24"/>
        </w:rPr>
        <w:t xml:space="preserve"> </w:t>
      </w:r>
      <w:r w:rsidRPr="00951C8B">
        <w:rPr>
          <w:rFonts w:ascii="Times New Roman" w:hAnsi="Times New Roman"/>
          <w:i/>
          <w:sz w:val="24"/>
          <w:szCs w:val="24"/>
        </w:rPr>
        <w:t>U.S. ex rel. Fine v. Chevron, U.S.A., Inc.</w:t>
      </w:r>
      <w:r w:rsidRPr="00951C8B">
        <w:rPr>
          <w:rFonts w:ascii="Times New Roman" w:hAnsi="Times New Roman"/>
          <w:sz w:val="24"/>
          <w:szCs w:val="24"/>
        </w:rPr>
        <w:t xml:space="preserve">, 72 F.3d 740, 744 (9th Cir. 1995) (voluntary relating of fraud under False Claims Act must be “done[ ] of one’s own free will without valuable consideration”); </w:t>
      </w:r>
      <w:r w:rsidRPr="00951C8B">
        <w:rPr>
          <w:rFonts w:ascii="Times New Roman" w:hAnsi="Times New Roman"/>
          <w:i/>
          <w:sz w:val="24"/>
          <w:szCs w:val="24"/>
        </w:rPr>
        <w:t>Pattern Makers’ League of North America, AFL-CIO v. NLRB</w:t>
      </w:r>
      <w:r w:rsidRPr="00951C8B">
        <w:rPr>
          <w:rFonts w:ascii="Times New Roman" w:hAnsi="Times New Roman"/>
          <w:sz w:val="24"/>
          <w:szCs w:val="24"/>
        </w:rPr>
        <w:t>, 473 U.S. 95, 107 (1985) (union policy of fining members who resign during a strike “impairs the policy of voluntary unionism,” at least where the fine was $4,700).</w:t>
      </w:r>
    </w:p>
    <w:p w:rsidR="009B645E" w:rsidRDefault="009B645E" w:rsidP="00951C8B">
      <w:pPr>
        <w:rPr>
          <w:rFonts w:ascii="Times New Roman" w:hAnsi="Times New Roman"/>
          <w:sz w:val="24"/>
          <w:szCs w:val="24"/>
        </w:rPr>
      </w:pPr>
      <w:r w:rsidRPr="00951C8B">
        <w:rPr>
          <w:rFonts w:ascii="Times New Roman" w:hAnsi="Times New Roman"/>
          <w:sz w:val="24"/>
          <w:szCs w:val="24"/>
        </w:rPr>
        <w:t>The wide range of medical questions asked by wellness program health risk assessments and the medical exams conducted by wellness programs are not related to employees’ ability to do their jobs, and thus are not job-related and consistent with business necessity.  Accordingly, the ADA requires that these questions and exams be voluntary.  The EEOC’s existing guidance prohibits penalties for not answering such questions.</w:t>
      </w:r>
    </w:p>
    <w:p w:rsidR="00A14EBD" w:rsidRDefault="00A14EBD" w:rsidP="00951C8B">
      <w:pPr>
        <w:rPr>
          <w:rFonts w:ascii="Times New Roman" w:hAnsi="Times New Roman"/>
          <w:sz w:val="24"/>
          <w:szCs w:val="24"/>
        </w:rPr>
      </w:pPr>
    </w:p>
    <w:p w:rsidR="00A14EBD" w:rsidRPr="00951C8B" w:rsidRDefault="00A14EBD" w:rsidP="00951C8B">
      <w:pPr>
        <w:rPr>
          <w:rFonts w:ascii="Times New Roman" w:hAnsi="Times New Roman"/>
          <w:sz w:val="24"/>
          <w:szCs w:val="24"/>
        </w:rPr>
      </w:pPr>
    </w:p>
    <w:p w:rsidR="009B645E" w:rsidRPr="00951C8B" w:rsidRDefault="009B645E" w:rsidP="00951C8B">
      <w:pPr>
        <w:pStyle w:val="ListParagraph"/>
        <w:numPr>
          <w:ilvl w:val="0"/>
          <w:numId w:val="9"/>
        </w:numPr>
        <w:rPr>
          <w:rFonts w:ascii="Times New Roman" w:hAnsi="Times New Roman"/>
          <w:i/>
          <w:sz w:val="24"/>
          <w:szCs w:val="24"/>
        </w:rPr>
      </w:pPr>
      <w:r w:rsidRPr="00951C8B">
        <w:rPr>
          <w:rFonts w:ascii="Times New Roman" w:hAnsi="Times New Roman"/>
          <w:i/>
          <w:sz w:val="24"/>
          <w:szCs w:val="24"/>
        </w:rPr>
        <w:lastRenderedPageBreak/>
        <w:t>The Proposed Rule Would Permit “Voluntary” Inquiries and Exams to be Conditioned on Steep Penalties</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Commission’s new characterization of medical questions or exams as “voluntary” when employees incur significant financial penalties for not responding strains credulity.  The penalties that would be permitted by the proposed rule may involve thousands of dollars.  The average annual premium for single coverage </w:t>
      </w:r>
      <w:r w:rsidR="00055D36">
        <w:rPr>
          <w:rFonts w:ascii="Times New Roman" w:hAnsi="Times New Roman"/>
          <w:sz w:val="24"/>
          <w:szCs w:val="24"/>
        </w:rPr>
        <w:t>in 2014 was</w:t>
      </w:r>
      <w:r w:rsidRPr="00951C8B">
        <w:rPr>
          <w:rFonts w:ascii="Times New Roman" w:hAnsi="Times New Roman"/>
          <w:sz w:val="24"/>
          <w:szCs w:val="24"/>
        </w:rPr>
        <w:t xml:space="preserve"> $6,025.</w:t>
      </w:r>
      <w:r w:rsidRPr="00951C8B">
        <w:rPr>
          <w:rStyle w:val="FootnoteReference"/>
          <w:rFonts w:ascii="Times New Roman" w:hAnsi="Times New Roman"/>
          <w:sz w:val="24"/>
          <w:szCs w:val="24"/>
        </w:rPr>
        <w:footnoteReference w:id="10"/>
      </w:r>
      <w:r w:rsidRPr="00951C8B">
        <w:rPr>
          <w:rFonts w:ascii="Times New Roman" w:hAnsi="Times New Roman"/>
          <w:sz w:val="24"/>
          <w:szCs w:val="24"/>
        </w:rPr>
        <w:t xml:space="preserve">  Thirty percent of that amount is more than $1</w:t>
      </w:r>
      <w:r w:rsidR="00055D36">
        <w:rPr>
          <w:rFonts w:ascii="Times New Roman" w:hAnsi="Times New Roman"/>
          <w:sz w:val="24"/>
          <w:szCs w:val="24"/>
        </w:rPr>
        <w:t>,</w:t>
      </w:r>
      <w:r w:rsidRPr="00951C8B">
        <w:rPr>
          <w:rFonts w:ascii="Times New Roman" w:hAnsi="Times New Roman"/>
          <w:sz w:val="24"/>
          <w:szCs w:val="24"/>
        </w:rPr>
        <w:t>800.00 every year.  For many individuals, the penalties would be larger than $1</w:t>
      </w:r>
      <w:r w:rsidR="00055D36">
        <w:rPr>
          <w:rFonts w:ascii="Times New Roman" w:hAnsi="Times New Roman"/>
          <w:sz w:val="24"/>
          <w:szCs w:val="24"/>
        </w:rPr>
        <w:t>,</w:t>
      </w:r>
      <w:r w:rsidRPr="00951C8B">
        <w:rPr>
          <w:rFonts w:ascii="Times New Roman" w:hAnsi="Times New Roman"/>
          <w:sz w:val="24"/>
          <w:szCs w:val="24"/>
        </w:rPr>
        <w:t>800.  In addition, the large majority of employees – around 85 percent – contribute about 20% to 30% of the cost of their health insurance coverage.</w:t>
      </w:r>
      <w:r w:rsidRPr="00951C8B">
        <w:rPr>
          <w:rStyle w:val="FootnoteReference"/>
          <w:rFonts w:ascii="Times New Roman" w:hAnsi="Times New Roman"/>
          <w:sz w:val="24"/>
          <w:szCs w:val="24"/>
        </w:rPr>
        <w:footnoteReference w:id="11"/>
      </w:r>
      <w:r w:rsidRPr="00951C8B">
        <w:rPr>
          <w:rFonts w:ascii="Times New Roman" w:hAnsi="Times New Roman"/>
          <w:sz w:val="24"/>
          <w:szCs w:val="24"/>
        </w:rPr>
        <w:t xml:space="preserve"> Thus, a penalty of 30% on top of this share would more than double the cost of health insurance for most employees.  Medical questions that an employee may only decline to answer if he or she agrees to pay thousands of dollars more for health insurance can hardly be called “voluntary.”</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In fact, the rationale that employers have provided for the use of large financial penalties is that these penalties are necessary to boost participation in health risk assessments as few employees choose to participate of their own volition.</w:t>
      </w:r>
    </w:p>
    <w:p w:rsidR="009B645E" w:rsidRPr="00951C8B" w:rsidRDefault="009B645E" w:rsidP="00951C8B">
      <w:pPr>
        <w:pStyle w:val="ListParagraph"/>
        <w:numPr>
          <w:ilvl w:val="0"/>
          <w:numId w:val="9"/>
        </w:numPr>
        <w:rPr>
          <w:rFonts w:ascii="Times New Roman" w:hAnsi="Times New Roman"/>
          <w:i/>
          <w:sz w:val="24"/>
          <w:szCs w:val="24"/>
        </w:rPr>
      </w:pPr>
      <w:r w:rsidRPr="00951C8B">
        <w:rPr>
          <w:rFonts w:ascii="Times New Roman" w:hAnsi="Times New Roman"/>
          <w:i/>
          <w:sz w:val="24"/>
          <w:szCs w:val="24"/>
        </w:rPr>
        <w:t>The EEOC Has Already Defined “Voluntary” Wellness Program Inquiries to Prohibit Penalties</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Moreover, the EEOC has already interpreted what constitutes a voluntary wellness program inquiry in a very similar context.  The Commission promulgated a rule in 2010 to implement the Genetic Information Non-discrimination Act’s (GINA’s) parallel provisions permitting voluntary inquiries about employees’ genetic information as part of wellness programs.</w:t>
      </w:r>
      <w:r w:rsidRPr="00951C8B">
        <w:rPr>
          <w:rStyle w:val="FootnoteReference"/>
          <w:rFonts w:ascii="Times New Roman" w:hAnsi="Times New Roman"/>
          <w:sz w:val="24"/>
          <w:szCs w:val="24"/>
        </w:rPr>
        <w:footnoteReference w:id="12"/>
      </w:r>
      <w:r w:rsidRPr="00951C8B">
        <w:rPr>
          <w:rFonts w:ascii="Times New Roman" w:hAnsi="Times New Roman"/>
          <w:sz w:val="24"/>
          <w:szCs w:val="24"/>
        </w:rPr>
        <w:t xml:space="preserve">  That rule, using the same language from the EEOC’s ADA guidance on medical inquiries of employees, states that the GINA “wellness program” exception applies only where “the provision of genetic information is voluntary, meaning the covered entity </w:t>
      </w:r>
      <w:r w:rsidRPr="00951C8B">
        <w:rPr>
          <w:rFonts w:ascii="Times New Roman" w:hAnsi="Times New Roman"/>
          <w:i/>
          <w:sz w:val="24"/>
          <w:szCs w:val="24"/>
        </w:rPr>
        <w:t>neither requires the individual to provide genetic information nor penalizes those who choose not to provide it</w:t>
      </w:r>
      <w:r w:rsidRPr="00951C8B">
        <w:rPr>
          <w:rFonts w:ascii="Times New Roman" w:hAnsi="Times New Roman"/>
          <w:sz w:val="24"/>
          <w:szCs w:val="24"/>
        </w:rPr>
        <w:t>.”</w:t>
      </w:r>
      <w:r w:rsidRPr="00951C8B">
        <w:rPr>
          <w:rStyle w:val="FootnoteReference"/>
          <w:rFonts w:ascii="Times New Roman" w:hAnsi="Times New Roman"/>
          <w:sz w:val="24"/>
          <w:szCs w:val="24"/>
        </w:rPr>
        <w:footnoteReference w:id="13"/>
      </w:r>
      <w:r w:rsidRPr="00951C8B">
        <w:rPr>
          <w:rFonts w:ascii="Times New Roman" w:hAnsi="Times New Roman"/>
          <w:sz w:val="24"/>
          <w:szCs w:val="24"/>
        </w:rPr>
        <w:t xml:space="preserve">   The GINA regulation further clarifies that an employer “may not offer a financial inducement for individuals to provide genetic information” in a wellness program, and that any inducement for completing a health risk assessment must be offered regardless of whether an employee chooses to answer the questions about genetic information.</w:t>
      </w:r>
      <w:r w:rsidRPr="00951C8B">
        <w:rPr>
          <w:rStyle w:val="FootnoteReference"/>
          <w:rFonts w:ascii="Times New Roman" w:hAnsi="Times New Roman"/>
          <w:sz w:val="24"/>
          <w:szCs w:val="24"/>
        </w:rPr>
        <w:footnoteReference w:id="14"/>
      </w:r>
      <w:r w:rsidRPr="00951C8B">
        <w:rPr>
          <w:rFonts w:ascii="Times New Roman" w:hAnsi="Times New Roman"/>
          <w:sz w:val="24"/>
          <w:szCs w:val="24"/>
        </w:rPr>
        <w:t xml:space="preserve">  The ADA must be interpreted in the same way:  if </w:t>
      </w:r>
      <w:r w:rsidRPr="00951C8B">
        <w:rPr>
          <w:rFonts w:ascii="Times New Roman" w:hAnsi="Times New Roman"/>
          <w:sz w:val="24"/>
          <w:szCs w:val="24"/>
        </w:rPr>
        <w:lastRenderedPageBreak/>
        <w:t>financial inducements are offered to employees for completing a health risk assessment, the inducements must be offered regardless of whether the employee chooses to answer questions about disability-related information.</w:t>
      </w:r>
      <w:r w:rsidRPr="00951C8B">
        <w:rPr>
          <w:rStyle w:val="FootnoteReference"/>
          <w:rFonts w:ascii="Times New Roman" w:hAnsi="Times New Roman"/>
          <w:sz w:val="24"/>
          <w:szCs w:val="24"/>
        </w:rPr>
        <w:footnoteReference w:id="15"/>
      </w:r>
    </w:p>
    <w:p w:rsidR="00951C8B"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EEOC’s proposed ADA rule would result in starkly different definitions of what constitutes a “voluntary” wellness program inquiry in parallel provisions of two very similar civil rights statutes—the ADA and GINA.  Far from conforming laws, the proposed rule actually creates untenable distinctions between civil rights laws.  The reasons given by the EEOC for why the ADA must permit penalties on workers for not answering “voluntary” requests for medical information are equally applicable to GINA; yet the EEOC did not import the ACA’s “30% rule” into GINA’s definition of a voluntary inquiry.  </w:t>
      </w:r>
    </w:p>
    <w:p w:rsidR="009B645E" w:rsidRPr="00951C8B" w:rsidRDefault="009B645E" w:rsidP="00951C8B">
      <w:pPr>
        <w:pStyle w:val="ListParagraph"/>
        <w:numPr>
          <w:ilvl w:val="0"/>
          <w:numId w:val="8"/>
        </w:numPr>
        <w:rPr>
          <w:rFonts w:ascii="Times New Roman" w:hAnsi="Times New Roman"/>
          <w:b/>
          <w:sz w:val="24"/>
          <w:szCs w:val="24"/>
          <w:u w:val="single"/>
        </w:rPr>
      </w:pPr>
      <w:r w:rsidRPr="00951C8B">
        <w:rPr>
          <w:rFonts w:ascii="Times New Roman" w:hAnsi="Times New Roman"/>
          <w:b/>
          <w:sz w:val="24"/>
          <w:szCs w:val="24"/>
          <w:u w:val="single"/>
        </w:rPr>
        <w:t>The ACA and HIPAA Do Not Require the Commission to Reinterpret the ADA’s Medical Inquiries Provisions</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Commission is simply wrong in concluding that it must interpret the term “voluntary” to reflect the provisions of an unrelated law that does not supersede the ADA’s requirements.  As the ACA’s implementing regulations concerning wellness programs expressly state, and the EEOC acknowledges, compliance with ACA and HIPAA rules does not determine compliance with any provision of the ADA.  The mere fact that the ACA and HIPAA limit the total penalties imposed in certain types of wellness programs to 30% of an employee’s premiums does not mean that the ADA cannot impose other limitations—namely that a subset of wellness program inquiries (those that seek </w:t>
      </w:r>
      <w:r w:rsidRPr="00951C8B">
        <w:rPr>
          <w:rFonts w:ascii="Times New Roman" w:hAnsi="Times New Roman"/>
          <w:i/>
          <w:sz w:val="24"/>
          <w:szCs w:val="24"/>
        </w:rPr>
        <w:t>medical</w:t>
      </w:r>
      <w:r w:rsidRPr="00951C8B">
        <w:rPr>
          <w:rFonts w:ascii="Times New Roman" w:hAnsi="Times New Roman"/>
          <w:sz w:val="24"/>
          <w:szCs w:val="24"/>
        </w:rPr>
        <w:t xml:space="preserve"> information) must not penalize workers who decline to answer.  </w:t>
      </w:r>
    </w:p>
    <w:p w:rsidR="009B645E" w:rsidRPr="00951C8B" w:rsidRDefault="009B645E" w:rsidP="00951C8B">
      <w:pPr>
        <w:pStyle w:val="ListParagraph"/>
        <w:numPr>
          <w:ilvl w:val="0"/>
          <w:numId w:val="10"/>
        </w:numPr>
        <w:rPr>
          <w:rFonts w:ascii="Times New Roman" w:hAnsi="Times New Roman"/>
          <w:i/>
          <w:sz w:val="24"/>
          <w:szCs w:val="24"/>
        </w:rPr>
      </w:pPr>
      <w:r w:rsidRPr="00951C8B">
        <w:rPr>
          <w:rFonts w:ascii="Times New Roman" w:hAnsi="Times New Roman"/>
          <w:i/>
          <w:sz w:val="24"/>
          <w:szCs w:val="24"/>
        </w:rPr>
        <w:t>The ADA does not bar conduct expressly authorized by the ACA and HIPAA</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The ACA and HIPAA do not require or expressly authorize wellness programs to impose penalties for not answering medical questions (or any other questions).  What they expressly authorize—total wellness program penalties of up to 30% of employee premiums in certain wellness programs—is not precluded by the ADA.  It is not difficult for employers and wellness plans to comply with all three laws.</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Notwithstanding its position that it must import the ACA’s “30% rule” into the ADA’s provisions concerning medical inquiries in order to “conform” its interpretation of the ADA to </w:t>
      </w:r>
      <w:r w:rsidRPr="00951C8B">
        <w:rPr>
          <w:rFonts w:ascii="Times New Roman" w:hAnsi="Times New Roman"/>
          <w:sz w:val="24"/>
          <w:szCs w:val="24"/>
        </w:rPr>
        <w:lastRenderedPageBreak/>
        <w:t xml:space="preserve">the ACA’s wellness program provisions, the Commission’s application of the 30% rule does </w:t>
      </w:r>
      <w:r w:rsidRPr="00951C8B">
        <w:rPr>
          <w:rFonts w:ascii="Times New Roman" w:hAnsi="Times New Roman"/>
          <w:i/>
          <w:sz w:val="24"/>
          <w:szCs w:val="24"/>
        </w:rPr>
        <w:t>not</w:t>
      </w:r>
      <w:r w:rsidRPr="00951C8B">
        <w:rPr>
          <w:rFonts w:ascii="Times New Roman" w:hAnsi="Times New Roman"/>
          <w:sz w:val="24"/>
          <w:szCs w:val="24"/>
        </w:rPr>
        <w:t xml:space="preserve"> conform to the ACA’s 30% rule.  It is different in a number of respects.  For example:</w:t>
      </w:r>
    </w:p>
    <w:p w:rsidR="00951C8B" w:rsidRDefault="009B645E" w:rsidP="00951C8B">
      <w:pPr>
        <w:pStyle w:val="ListParagraph"/>
        <w:numPr>
          <w:ilvl w:val="0"/>
          <w:numId w:val="7"/>
        </w:numPr>
        <w:rPr>
          <w:rFonts w:ascii="Times New Roman" w:hAnsi="Times New Roman"/>
          <w:sz w:val="24"/>
          <w:szCs w:val="24"/>
        </w:rPr>
      </w:pPr>
      <w:r w:rsidRPr="00951C8B">
        <w:rPr>
          <w:rFonts w:ascii="Times New Roman" w:hAnsi="Times New Roman"/>
          <w:sz w:val="24"/>
          <w:szCs w:val="24"/>
        </w:rPr>
        <w:t>the ACA’s 30% incentive cap applies only to health-contingent wellness programs</w:t>
      </w:r>
      <w:r w:rsidRPr="00951C8B">
        <w:rPr>
          <w:rStyle w:val="FootnoteReference"/>
          <w:rFonts w:ascii="Times New Roman" w:hAnsi="Times New Roman"/>
          <w:sz w:val="24"/>
          <w:szCs w:val="24"/>
        </w:rPr>
        <w:footnoteReference w:id="16"/>
      </w:r>
      <w:r w:rsidRPr="00951C8B">
        <w:rPr>
          <w:rFonts w:ascii="Times New Roman" w:hAnsi="Times New Roman"/>
          <w:sz w:val="24"/>
          <w:szCs w:val="24"/>
        </w:rPr>
        <w:t xml:space="preserve"> whereas the proposed ADA rule’s 30% cap extends to all wellness programs, including participatory programs;</w:t>
      </w:r>
    </w:p>
    <w:p w:rsidR="009B645E" w:rsidRPr="00951C8B" w:rsidRDefault="009B645E" w:rsidP="00951C8B">
      <w:pPr>
        <w:pStyle w:val="ListParagraph"/>
        <w:ind w:left="1080"/>
        <w:rPr>
          <w:rFonts w:ascii="Times New Roman" w:hAnsi="Times New Roman"/>
          <w:sz w:val="24"/>
          <w:szCs w:val="24"/>
        </w:rPr>
      </w:pPr>
      <w:r w:rsidRPr="00951C8B">
        <w:rPr>
          <w:rFonts w:ascii="Times New Roman" w:hAnsi="Times New Roman"/>
          <w:sz w:val="24"/>
          <w:szCs w:val="24"/>
        </w:rPr>
        <w:t xml:space="preserve"> </w:t>
      </w:r>
    </w:p>
    <w:p w:rsidR="00951C8B" w:rsidRPr="00951C8B" w:rsidRDefault="009B645E" w:rsidP="00951C8B">
      <w:pPr>
        <w:pStyle w:val="ListParagraph"/>
        <w:numPr>
          <w:ilvl w:val="0"/>
          <w:numId w:val="7"/>
        </w:numPr>
        <w:rPr>
          <w:rFonts w:ascii="Times New Roman" w:hAnsi="Times New Roman"/>
          <w:sz w:val="24"/>
          <w:szCs w:val="24"/>
        </w:rPr>
      </w:pPr>
      <w:r w:rsidRPr="00951C8B">
        <w:rPr>
          <w:rFonts w:ascii="Times New Roman" w:hAnsi="Times New Roman"/>
          <w:sz w:val="24"/>
          <w:szCs w:val="24"/>
        </w:rPr>
        <w:t xml:space="preserve">the ACA’s cap is 30% of employee-only insurance premiums or, if the individual’s family members </w:t>
      </w:r>
      <w:r w:rsidR="00055D36">
        <w:rPr>
          <w:rFonts w:ascii="Times New Roman" w:hAnsi="Times New Roman"/>
          <w:sz w:val="24"/>
          <w:szCs w:val="24"/>
        </w:rPr>
        <w:t>participate in the wellness program</w:t>
      </w:r>
      <w:r w:rsidRPr="00951C8B">
        <w:rPr>
          <w:rFonts w:ascii="Times New Roman" w:hAnsi="Times New Roman"/>
          <w:sz w:val="24"/>
          <w:szCs w:val="24"/>
        </w:rPr>
        <w:t>, 30% of family coverage,</w:t>
      </w:r>
      <w:r w:rsidRPr="00951C8B">
        <w:rPr>
          <w:rStyle w:val="FootnoteReference"/>
          <w:rFonts w:ascii="Times New Roman" w:hAnsi="Times New Roman"/>
          <w:sz w:val="24"/>
          <w:szCs w:val="24"/>
        </w:rPr>
        <w:footnoteReference w:id="17"/>
      </w:r>
      <w:r w:rsidRPr="00951C8B">
        <w:rPr>
          <w:rFonts w:ascii="Times New Roman" w:hAnsi="Times New Roman"/>
          <w:sz w:val="24"/>
          <w:szCs w:val="24"/>
        </w:rPr>
        <w:t xml:space="preserve"> whereas the proposed ADA rule’s 30% cap is for employee-only coverage (average premium amounts for family coverage are approximately $16,000 per year</w:t>
      </w:r>
      <w:r w:rsidR="00055D36">
        <w:rPr>
          <w:rFonts w:ascii="Times New Roman" w:hAnsi="Times New Roman"/>
          <w:sz w:val="24"/>
          <w:szCs w:val="24"/>
        </w:rPr>
        <w:t xml:space="preserve"> in 2014</w:t>
      </w:r>
      <w:r w:rsidRPr="00951C8B">
        <w:rPr>
          <w:rFonts w:ascii="Times New Roman" w:hAnsi="Times New Roman"/>
          <w:sz w:val="24"/>
          <w:szCs w:val="24"/>
        </w:rPr>
        <w:t>, in contrast to $6</w:t>
      </w:r>
      <w:r w:rsidR="00055D36">
        <w:rPr>
          <w:rFonts w:ascii="Times New Roman" w:hAnsi="Times New Roman"/>
          <w:sz w:val="24"/>
          <w:szCs w:val="24"/>
        </w:rPr>
        <w:t>,</w:t>
      </w:r>
      <w:r w:rsidRPr="00951C8B">
        <w:rPr>
          <w:rFonts w:ascii="Times New Roman" w:hAnsi="Times New Roman"/>
          <w:sz w:val="24"/>
          <w:szCs w:val="24"/>
        </w:rPr>
        <w:t>000 per year for employee-only coverage);</w:t>
      </w:r>
    </w:p>
    <w:p w:rsidR="00951C8B" w:rsidRDefault="00951C8B" w:rsidP="00951C8B">
      <w:pPr>
        <w:pStyle w:val="ListParagraph"/>
        <w:ind w:left="1080"/>
        <w:rPr>
          <w:rFonts w:ascii="Times New Roman" w:hAnsi="Times New Roman"/>
          <w:sz w:val="24"/>
          <w:szCs w:val="24"/>
        </w:rPr>
      </w:pPr>
    </w:p>
    <w:p w:rsidR="009B645E" w:rsidRDefault="009B645E" w:rsidP="00951C8B">
      <w:pPr>
        <w:pStyle w:val="ListParagraph"/>
        <w:numPr>
          <w:ilvl w:val="0"/>
          <w:numId w:val="7"/>
        </w:numPr>
        <w:rPr>
          <w:rFonts w:ascii="Times New Roman" w:hAnsi="Times New Roman"/>
          <w:sz w:val="24"/>
          <w:szCs w:val="24"/>
        </w:rPr>
      </w:pPr>
      <w:proofErr w:type="gramStart"/>
      <w:r w:rsidRPr="00951C8B">
        <w:rPr>
          <w:rFonts w:ascii="Times New Roman" w:hAnsi="Times New Roman"/>
          <w:sz w:val="24"/>
          <w:szCs w:val="24"/>
        </w:rPr>
        <w:t>the</w:t>
      </w:r>
      <w:proofErr w:type="gramEnd"/>
      <w:r w:rsidRPr="00951C8B">
        <w:rPr>
          <w:rFonts w:ascii="Times New Roman" w:hAnsi="Times New Roman"/>
          <w:sz w:val="24"/>
          <w:szCs w:val="24"/>
        </w:rPr>
        <w:t xml:space="preserve"> ACA’s cap </w:t>
      </w:r>
      <w:r w:rsidR="00055D36">
        <w:rPr>
          <w:rFonts w:ascii="Times New Roman" w:hAnsi="Times New Roman"/>
          <w:sz w:val="24"/>
          <w:szCs w:val="24"/>
        </w:rPr>
        <w:t xml:space="preserve">on penalties for wellness programs with </w:t>
      </w:r>
      <w:r w:rsidRPr="00951C8B">
        <w:rPr>
          <w:rFonts w:ascii="Times New Roman" w:hAnsi="Times New Roman"/>
          <w:sz w:val="24"/>
          <w:szCs w:val="24"/>
        </w:rPr>
        <w:t xml:space="preserve"> tobacco cessation programs is 50%,</w:t>
      </w:r>
      <w:r w:rsidRPr="00951C8B">
        <w:rPr>
          <w:rStyle w:val="FootnoteReference"/>
          <w:rFonts w:ascii="Times New Roman" w:hAnsi="Times New Roman"/>
          <w:sz w:val="24"/>
          <w:szCs w:val="24"/>
        </w:rPr>
        <w:footnoteReference w:id="18"/>
      </w:r>
      <w:r w:rsidRPr="00951C8B">
        <w:rPr>
          <w:rFonts w:ascii="Times New Roman" w:hAnsi="Times New Roman"/>
          <w:sz w:val="24"/>
          <w:szCs w:val="24"/>
        </w:rPr>
        <w:t xml:space="preserve"> whereas the proposed ADA rule applies a 30% cap on incentives for answering medical inquiries in such programs.</w:t>
      </w:r>
    </w:p>
    <w:p w:rsidR="00055D36" w:rsidRPr="00C6789D" w:rsidRDefault="00055D36" w:rsidP="00C6789D">
      <w:pPr>
        <w:pStyle w:val="ListParagraph"/>
        <w:rPr>
          <w:rFonts w:ascii="Times New Roman" w:hAnsi="Times New Roman"/>
          <w:sz w:val="24"/>
          <w:szCs w:val="24"/>
        </w:rPr>
      </w:pP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Indeed the fact that the ACA</w:t>
      </w:r>
      <w:r w:rsidR="0005593F">
        <w:rPr>
          <w:rFonts w:ascii="Times New Roman" w:hAnsi="Times New Roman"/>
          <w:sz w:val="24"/>
          <w:szCs w:val="24"/>
        </w:rPr>
        <w:t xml:space="preserve"> does not place a limit on </w:t>
      </w:r>
      <w:r w:rsidRPr="00951C8B">
        <w:rPr>
          <w:rFonts w:ascii="Times New Roman" w:hAnsi="Times New Roman"/>
          <w:sz w:val="24"/>
          <w:szCs w:val="24"/>
        </w:rPr>
        <w:t>financial penalties in participatory wellness programs, and nearly $5</w:t>
      </w:r>
      <w:r w:rsidR="00055D36">
        <w:rPr>
          <w:rFonts w:ascii="Times New Roman" w:hAnsi="Times New Roman"/>
          <w:sz w:val="24"/>
          <w:szCs w:val="24"/>
        </w:rPr>
        <w:t>,</w:t>
      </w:r>
      <w:r w:rsidRPr="00951C8B">
        <w:rPr>
          <w:rFonts w:ascii="Times New Roman" w:hAnsi="Times New Roman"/>
          <w:sz w:val="24"/>
          <w:szCs w:val="24"/>
        </w:rPr>
        <w:t>000 on average for workers with family coverage in health-contingent wellness programs, shows that Congress did not intend the ACA to modify the ADA’s definition of “voluntary” medical inquiries.</w:t>
      </w:r>
    </w:p>
    <w:p w:rsidR="009B645E" w:rsidRPr="00951C8B" w:rsidRDefault="009B645E" w:rsidP="00951C8B">
      <w:pPr>
        <w:pStyle w:val="ListParagraph"/>
        <w:numPr>
          <w:ilvl w:val="0"/>
          <w:numId w:val="10"/>
        </w:numPr>
        <w:rPr>
          <w:rFonts w:ascii="Times New Roman" w:hAnsi="Times New Roman"/>
          <w:i/>
          <w:sz w:val="24"/>
          <w:szCs w:val="24"/>
        </w:rPr>
      </w:pPr>
      <w:r w:rsidRPr="00951C8B">
        <w:rPr>
          <w:rFonts w:ascii="Times New Roman" w:hAnsi="Times New Roman"/>
          <w:i/>
          <w:sz w:val="24"/>
          <w:szCs w:val="24"/>
        </w:rPr>
        <w:t>The ACA and HIPAA Regulations Concerning Wellness Programs Explicitly State that the ADA’s Confidentiality Provisions Apply Simultaneously</w:t>
      </w:r>
    </w:p>
    <w:p w:rsidR="009B645E" w:rsidRPr="00951C8B" w:rsidRDefault="009B645E" w:rsidP="00951C8B">
      <w:pPr>
        <w:autoSpaceDE w:val="0"/>
        <w:autoSpaceDN w:val="0"/>
        <w:adjustRightInd w:val="0"/>
        <w:rPr>
          <w:rFonts w:ascii="Times New Roman" w:hAnsi="Times New Roman"/>
          <w:sz w:val="24"/>
          <w:szCs w:val="24"/>
        </w:rPr>
      </w:pPr>
      <w:r w:rsidRPr="00951C8B">
        <w:rPr>
          <w:rFonts w:ascii="Times New Roman" w:hAnsi="Times New Roman"/>
          <w:sz w:val="24"/>
          <w:szCs w:val="24"/>
        </w:rPr>
        <w:t>The 2006 regulations from the Departments of Treasury, Labor, and Health and Human Services implementing HIPAA explicitly recognize that the ADA imposes separate, additional restrictions on wellness programs.</w:t>
      </w:r>
      <w:r w:rsidRPr="00951C8B">
        <w:rPr>
          <w:rStyle w:val="FootnoteReference"/>
          <w:rFonts w:ascii="Times New Roman" w:hAnsi="Times New Roman"/>
          <w:sz w:val="24"/>
          <w:szCs w:val="24"/>
        </w:rPr>
        <w:footnoteReference w:id="19"/>
      </w:r>
      <w:r w:rsidRPr="00951C8B">
        <w:rPr>
          <w:rFonts w:ascii="Times New Roman" w:hAnsi="Times New Roman"/>
          <w:sz w:val="24"/>
          <w:szCs w:val="24"/>
        </w:rPr>
        <w:t xml:space="preserve"> And the 2015 “Tri-Agency” ACA regulations reiterate this interpretation of the three statutes: </w:t>
      </w:r>
    </w:p>
    <w:p w:rsidR="009B645E" w:rsidRPr="00951C8B" w:rsidRDefault="009B645E" w:rsidP="00951C8B">
      <w:pPr>
        <w:autoSpaceDE w:val="0"/>
        <w:autoSpaceDN w:val="0"/>
        <w:adjustRightInd w:val="0"/>
        <w:ind w:left="432" w:right="432"/>
        <w:rPr>
          <w:rFonts w:ascii="Times New Roman" w:hAnsi="Times New Roman"/>
          <w:sz w:val="24"/>
          <w:szCs w:val="24"/>
        </w:rPr>
      </w:pPr>
      <w:r w:rsidRPr="00951C8B">
        <w:rPr>
          <w:rFonts w:ascii="Times New Roman" w:hAnsi="Times New Roman"/>
          <w:sz w:val="24"/>
          <w:szCs w:val="24"/>
        </w:rPr>
        <w:t>[T]</w:t>
      </w:r>
      <w:proofErr w:type="spellStart"/>
      <w:r w:rsidRPr="00951C8B">
        <w:rPr>
          <w:rFonts w:ascii="Times New Roman" w:hAnsi="Times New Roman"/>
          <w:sz w:val="24"/>
          <w:szCs w:val="24"/>
        </w:rPr>
        <w:t>hese</w:t>
      </w:r>
      <w:proofErr w:type="spellEnd"/>
      <w:r w:rsidRPr="00951C8B">
        <w:rPr>
          <w:rFonts w:ascii="Times New Roman" w:hAnsi="Times New Roman"/>
          <w:sz w:val="24"/>
          <w:szCs w:val="24"/>
        </w:rPr>
        <w:t xml:space="preserve"> final regulations are implementing </w:t>
      </w:r>
      <w:r w:rsidRPr="00951C8B">
        <w:rPr>
          <w:rFonts w:ascii="Times New Roman" w:hAnsi="Times New Roman"/>
          <w:i/>
          <w:sz w:val="24"/>
          <w:szCs w:val="24"/>
        </w:rPr>
        <w:t>only</w:t>
      </w:r>
      <w:r w:rsidRPr="00951C8B">
        <w:rPr>
          <w:rFonts w:ascii="Times New Roman" w:hAnsi="Times New Roman"/>
          <w:sz w:val="24"/>
          <w:szCs w:val="24"/>
        </w:rPr>
        <w:t xml:space="preserve"> the provisions regarding wellness programs in the Affordable Care Act. Other State and Federal laws may apply with respect to the privacy, disclosure, and confidentiality of information provided to these programs. For example . . . employers subject to the Americans with Disabilities Act of </w:t>
      </w:r>
      <w:r w:rsidRPr="00951C8B">
        <w:rPr>
          <w:rFonts w:ascii="Times New Roman" w:hAnsi="Times New Roman"/>
          <w:sz w:val="24"/>
          <w:szCs w:val="24"/>
        </w:rPr>
        <w:lastRenderedPageBreak/>
        <w:t xml:space="preserve">1990 (ADA) </w:t>
      </w:r>
      <w:r w:rsidRPr="00951C8B">
        <w:rPr>
          <w:rFonts w:ascii="Times New Roman" w:hAnsi="Times New Roman"/>
          <w:i/>
          <w:sz w:val="24"/>
          <w:szCs w:val="24"/>
        </w:rPr>
        <w:t>must comply with any applicable ADA requirements for disclosure and confidentiality of medical information and non-discrimination on the basis of disability.</w:t>
      </w:r>
      <w:r w:rsidRPr="00951C8B">
        <w:rPr>
          <w:rStyle w:val="FootnoteReference"/>
          <w:rFonts w:ascii="Times New Roman" w:hAnsi="Times New Roman"/>
          <w:sz w:val="24"/>
          <w:szCs w:val="24"/>
        </w:rPr>
        <w:footnoteReference w:id="20"/>
      </w:r>
      <w:r w:rsidRPr="00951C8B">
        <w:rPr>
          <w:rFonts w:ascii="Times New Roman" w:hAnsi="Times New Roman"/>
          <w:i/>
          <w:sz w:val="24"/>
          <w:szCs w:val="24"/>
        </w:rPr>
        <w:t xml:space="preserve"> </w:t>
      </w:r>
    </w:p>
    <w:p w:rsidR="009B645E" w:rsidRPr="00951C8B" w:rsidRDefault="009B645E" w:rsidP="00951C8B">
      <w:pPr>
        <w:autoSpaceDE w:val="0"/>
        <w:autoSpaceDN w:val="0"/>
        <w:adjustRightInd w:val="0"/>
        <w:ind w:left="432" w:right="432"/>
        <w:rPr>
          <w:rFonts w:ascii="Times New Roman" w:hAnsi="Times New Roman"/>
          <w:sz w:val="24"/>
          <w:szCs w:val="24"/>
        </w:rPr>
      </w:pPr>
      <w:r w:rsidRPr="00951C8B">
        <w:rPr>
          <w:rFonts w:ascii="Times New Roman" w:hAnsi="Times New Roman"/>
          <w:sz w:val="24"/>
          <w:szCs w:val="24"/>
        </w:rPr>
        <w:t>…</w:t>
      </w:r>
    </w:p>
    <w:p w:rsidR="009B645E" w:rsidRPr="00951C8B" w:rsidRDefault="009B645E" w:rsidP="00951C8B">
      <w:pPr>
        <w:autoSpaceDE w:val="0"/>
        <w:autoSpaceDN w:val="0"/>
        <w:adjustRightInd w:val="0"/>
        <w:ind w:left="432" w:right="432"/>
        <w:rPr>
          <w:rFonts w:ascii="Times New Roman" w:hAnsi="Times New Roman"/>
          <w:sz w:val="24"/>
          <w:szCs w:val="24"/>
        </w:rPr>
      </w:pPr>
      <w:r w:rsidRPr="00951C8B">
        <w:rPr>
          <w:rFonts w:ascii="Times New Roman" w:hAnsi="Times New Roman"/>
          <w:sz w:val="24"/>
          <w:szCs w:val="24"/>
        </w:rPr>
        <w:t xml:space="preserve">Compliance with the HIPAA nondiscrimination rules (which were later amended by the Affordable Care Act), including the wellness program requirements in paragraph (f), is </w:t>
      </w:r>
      <w:r w:rsidRPr="00951C8B">
        <w:rPr>
          <w:rFonts w:ascii="Times New Roman" w:hAnsi="Times New Roman"/>
          <w:i/>
          <w:sz w:val="24"/>
          <w:szCs w:val="24"/>
        </w:rPr>
        <w:t xml:space="preserve">not determinative of compliance with </w:t>
      </w:r>
      <w:r w:rsidRPr="00951C8B">
        <w:rPr>
          <w:rFonts w:ascii="Times New Roman" w:hAnsi="Times New Roman"/>
          <w:sz w:val="24"/>
          <w:szCs w:val="24"/>
        </w:rPr>
        <w:t>any other provision of ERISA, or</w:t>
      </w:r>
      <w:r w:rsidRPr="00951C8B">
        <w:rPr>
          <w:rFonts w:ascii="Times New Roman" w:hAnsi="Times New Roman"/>
          <w:i/>
          <w:sz w:val="24"/>
          <w:szCs w:val="24"/>
        </w:rPr>
        <w:t xml:space="preserve"> any other State or Federal law, including the ADA</w:t>
      </w:r>
      <w:r w:rsidRPr="00951C8B">
        <w:rPr>
          <w:rFonts w:ascii="Times New Roman" w:hAnsi="Times New Roman"/>
          <w:sz w:val="24"/>
          <w:szCs w:val="24"/>
        </w:rPr>
        <w:t xml:space="preserve">. This paragraph is unchanged by these final regulations and remains in effect. As stated in the preamble to the 2006 regulations, the Departments recognize that </w:t>
      </w:r>
      <w:r w:rsidRPr="00951C8B">
        <w:rPr>
          <w:rFonts w:ascii="Times New Roman" w:hAnsi="Times New Roman"/>
          <w:i/>
          <w:sz w:val="24"/>
          <w:szCs w:val="24"/>
        </w:rPr>
        <w:t>many other laws may regulate plans and issuers in their provision of benefits to participants and beneficiaries</w:t>
      </w:r>
      <w:r w:rsidRPr="00951C8B">
        <w:rPr>
          <w:rFonts w:ascii="Times New Roman" w:hAnsi="Times New Roman"/>
          <w:sz w:val="24"/>
          <w:szCs w:val="24"/>
        </w:rPr>
        <w:t>. These laws include, but are not limited to, the ADA, Title VII of the Civil Rights Act of 1964, Code section 105(h) and PHS Act section 2716 (prohibiting discrimination in favor of highly compensated individuals), the Genetic Information Nondiscrimination Act of 2008, the Family and Medical Leave Act, ERISA’s fiduciary provisions, and State law.</w:t>
      </w:r>
      <w:r w:rsidRPr="00951C8B">
        <w:rPr>
          <w:rStyle w:val="FootnoteReference"/>
          <w:rFonts w:ascii="Times New Roman" w:hAnsi="Times New Roman"/>
          <w:sz w:val="24"/>
          <w:szCs w:val="24"/>
        </w:rPr>
        <w:footnoteReference w:id="21"/>
      </w:r>
      <w:r w:rsidRPr="00951C8B">
        <w:rPr>
          <w:rFonts w:ascii="Times New Roman" w:hAnsi="Times New Roman"/>
          <w:sz w:val="24"/>
          <w:szCs w:val="24"/>
        </w:rPr>
        <w:t xml:space="preserve"> </w:t>
      </w:r>
    </w:p>
    <w:p w:rsidR="009B645E" w:rsidRPr="00951C8B" w:rsidRDefault="009B645E" w:rsidP="00951C8B">
      <w:pPr>
        <w:pStyle w:val="ListParagraph"/>
        <w:numPr>
          <w:ilvl w:val="0"/>
          <w:numId w:val="10"/>
        </w:numPr>
        <w:rPr>
          <w:rFonts w:ascii="Times New Roman" w:hAnsi="Times New Roman"/>
          <w:i/>
          <w:sz w:val="24"/>
          <w:szCs w:val="24"/>
        </w:rPr>
      </w:pPr>
      <w:r w:rsidRPr="00951C8B">
        <w:rPr>
          <w:rFonts w:ascii="Times New Roman" w:hAnsi="Times New Roman"/>
          <w:i/>
          <w:sz w:val="24"/>
          <w:szCs w:val="24"/>
        </w:rPr>
        <w:t>The ACA and HIPAA wellness penalty provisions address insurance discrimination and not employment discrimination</w:t>
      </w:r>
    </w:p>
    <w:p w:rsidR="009B645E" w:rsidRPr="00951C8B" w:rsidRDefault="009B645E" w:rsidP="00951C8B">
      <w:pPr>
        <w:autoSpaceDE w:val="0"/>
        <w:autoSpaceDN w:val="0"/>
        <w:adjustRightInd w:val="0"/>
        <w:rPr>
          <w:rFonts w:ascii="Times New Roman" w:hAnsi="Times New Roman"/>
          <w:sz w:val="24"/>
          <w:szCs w:val="24"/>
        </w:rPr>
      </w:pPr>
      <w:r w:rsidRPr="00951C8B">
        <w:rPr>
          <w:rFonts w:ascii="Times New Roman" w:hAnsi="Times New Roman"/>
          <w:sz w:val="24"/>
          <w:szCs w:val="24"/>
        </w:rPr>
        <w:t>The provisions in the ACA and HIPAA wellness program penalties address when such penalties constitute</w:t>
      </w:r>
      <w:r w:rsidRPr="00951C8B">
        <w:rPr>
          <w:rFonts w:ascii="Times New Roman" w:hAnsi="Times New Roman"/>
          <w:i/>
          <w:sz w:val="24"/>
          <w:szCs w:val="24"/>
        </w:rPr>
        <w:t xml:space="preserve"> insurance</w:t>
      </w:r>
      <w:r w:rsidRPr="00951C8B">
        <w:rPr>
          <w:rFonts w:ascii="Times New Roman" w:hAnsi="Times New Roman"/>
          <w:sz w:val="24"/>
          <w:szCs w:val="24"/>
        </w:rPr>
        <w:t xml:space="preserve"> discrimination.</w:t>
      </w:r>
      <w:r w:rsidRPr="00951C8B">
        <w:rPr>
          <w:rStyle w:val="FootnoteReference"/>
          <w:rFonts w:ascii="Times New Roman" w:hAnsi="Times New Roman"/>
          <w:sz w:val="24"/>
          <w:szCs w:val="24"/>
        </w:rPr>
        <w:footnoteReference w:id="22"/>
      </w:r>
      <w:r w:rsidRPr="00951C8B">
        <w:rPr>
          <w:rFonts w:ascii="Times New Roman" w:hAnsi="Times New Roman"/>
          <w:sz w:val="24"/>
          <w:szCs w:val="24"/>
        </w:rPr>
        <w:t xml:space="preserve">  They do not address the separate concern of when such penalties, used in an employer-sponsored wellness program, have the effect of discriminating in </w:t>
      </w:r>
      <w:r w:rsidRPr="00951C8B">
        <w:rPr>
          <w:rFonts w:ascii="Times New Roman" w:hAnsi="Times New Roman"/>
          <w:i/>
          <w:sz w:val="24"/>
          <w:szCs w:val="24"/>
        </w:rPr>
        <w:t>employment</w:t>
      </w:r>
      <w:r w:rsidRPr="00951C8B">
        <w:rPr>
          <w:rFonts w:ascii="Times New Roman" w:hAnsi="Times New Roman"/>
          <w:sz w:val="24"/>
          <w:szCs w:val="24"/>
        </w:rPr>
        <w:t xml:space="preserve">.  The ADA defines employment discrimination to include subjecting employees to medical inquiries and exams that are not job-related and not voluntary.  While it may not be insurance discrimination to impose penalties below a certain level on employees’ failure to answer non-job related medical inquiries and exams, it is employment discrimination under the ADA.  </w:t>
      </w:r>
    </w:p>
    <w:p w:rsidR="009B645E" w:rsidRPr="00951C8B" w:rsidRDefault="009B645E" w:rsidP="00951C8B">
      <w:pPr>
        <w:pStyle w:val="ListParagraph"/>
        <w:numPr>
          <w:ilvl w:val="0"/>
          <w:numId w:val="10"/>
        </w:numPr>
        <w:rPr>
          <w:rFonts w:ascii="Times New Roman" w:hAnsi="Times New Roman"/>
          <w:i/>
          <w:sz w:val="24"/>
          <w:szCs w:val="24"/>
        </w:rPr>
      </w:pPr>
      <w:r w:rsidRPr="00951C8B">
        <w:rPr>
          <w:rFonts w:ascii="Times New Roman" w:hAnsi="Times New Roman"/>
          <w:i/>
          <w:sz w:val="24"/>
          <w:szCs w:val="24"/>
        </w:rPr>
        <w:t>The ACA and HIPAA did not repeal the ADA by implication</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wellness provisions in the ACA and HIPAA do not repeal by implication the ADA’s medical inquiries provisions. If Congress meant to repeal the wellness program requirements of </w:t>
      </w:r>
      <w:r w:rsidRPr="00951C8B">
        <w:rPr>
          <w:rFonts w:ascii="Times New Roman" w:hAnsi="Times New Roman"/>
          <w:sz w:val="24"/>
          <w:szCs w:val="24"/>
        </w:rPr>
        <w:lastRenderedPageBreak/>
        <w:t xml:space="preserve">the ADA, it would not have done so without saying anything. There is nothing in the ACA or HIPAA indicating </w:t>
      </w:r>
      <w:r w:rsidR="00221D80">
        <w:rPr>
          <w:rFonts w:ascii="Times New Roman" w:hAnsi="Times New Roman"/>
          <w:sz w:val="24"/>
          <w:szCs w:val="24"/>
        </w:rPr>
        <w:t>C</w:t>
      </w:r>
      <w:r w:rsidRPr="00951C8B">
        <w:rPr>
          <w:rFonts w:ascii="Times New Roman" w:hAnsi="Times New Roman"/>
          <w:sz w:val="24"/>
          <w:szCs w:val="24"/>
        </w:rPr>
        <w:t xml:space="preserve">ongressional intent to repeal the ADA’s medical inquiries provisions.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Supreme Court has cautioned that one of the “cardinal rules” of statutory construction is that “repeals by implication are not favored.” </w:t>
      </w:r>
      <w:r w:rsidRPr="00951C8B">
        <w:rPr>
          <w:rFonts w:ascii="Times New Roman" w:hAnsi="Times New Roman"/>
          <w:i/>
          <w:sz w:val="24"/>
          <w:szCs w:val="24"/>
        </w:rPr>
        <w:t xml:space="preserve">Morton v. </w:t>
      </w:r>
      <w:proofErr w:type="spellStart"/>
      <w:r w:rsidRPr="00951C8B">
        <w:rPr>
          <w:rFonts w:ascii="Times New Roman" w:hAnsi="Times New Roman"/>
          <w:i/>
          <w:sz w:val="24"/>
          <w:szCs w:val="24"/>
        </w:rPr>
        <w:t>Mancari</w:t>
      </w:r>
      <w:proofErr w:type="spellEnd"/>
      <w:r w:rsidRPr="00951C8B">
        <w:rPr>
          <w:rFonts w:ascii="Times New Roman" w:hAnsi="Times New Roman"/>
          <w:sz w:val="24"/>
          <w:szCs w:val="24"/>
        </w:rPr>
        <w:t xml:space="preserve">, 417 U.S. 535, 550 (1974) (citing cases). </w:t>
      </w:r>
      <w:r w:rsidRPr="00951C8B">
        <w:rPr>
          <w:rFonts w:ascii="Times New Roman" w:hAnsi="Times New Roman"/>
          <w:i/>
          <w:sz w:val="24"/>
          <w:szCs w:val="24"/>
        </w:rPr>
        <w:t>See generally Randolph v. IMBS, Inc.</w:t>
      </w:r>
      <w:r w:rsidRPr="00951C8B">
        <w:rPr>
          <w:rFonts w:ascii="Times New Roman" w:hAnsi="Times New Roman"/>
          <w:sz w:val="24"/>
          <w:szCs w:val="24"/>
        </w:rPr>
        <w:t xml:space="preserve">, 368 F.3d 726, 730 (9th Cir. 2004) (repeal by implication is a “rare bird indeed”); </w:t>
      </w:r>
      <w:r w:rsidRPr="00951C8B">
        <w:rPr>
          <w:rFonts w:ascii="Times New Roman" w:hAnsi="Times New Roman"/>
          <w:i/>
          <w:sz w:val="24"/>
          <w:szCs w:val="24"/>
        </w:rPr>
        <w:t>Branch v. Smith</w:t>
      </w:r>
      <w:r w:rsidRPr="00951C8B">
        <w:rPr>
          <w:rFonts w:ascii="Times New Roman" w:hAnsi="Times New Roman"/>
          <w:sz w:val="24"/>
          <w:szCs w:val="24"/>
        </w:rPr>
        <w:t xml:space="preserve">, 538 U.S. 254, 293 (2003) (O’Connor, J. concurring) (“We have not found </w:t>
      </w:r>
      <w:r w:rsidRPr="00951C8B">
        <w:rPr>
          <w:rStyle w:val="Emphasis"/>
          <w:rFonts w:ascii="Times New Roman" w:hAnsi="Times New Roman"/>
          <w:sz w:val="24"/>
          <w:szCs w:val="24"/>
        </w:rPr>
        <w:t>any</w:t>
      </w:r>
      <w:r w:rsidRPr="00951C8B">
        <w:rPr>
          <w:rFonts w:ascii="Times New Roman" w:hAnsi="Times New Roman"/>
          <w:sz w:val="24"/>
          <w:szCs w:val="24"/>
        </w:rPr>
        <w:t xml:space="preserve"> implied repeal of a statute since 1975.”).</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There are only two circumstances in which courts find a silent repeal: “(1) where provisions in the two acts are in irreconcilable conflict, the later act to the extent of the conflict constitutes an implied repeal of the earlier one; and (2) if the later act covers the whole subject of the earlier one and is clearly intended as a substitute.” </w:t>
      </w:r>
      <w:proofErr w:type="spellStart"/>
      <w:r w:rsidRPr="00951C8B">
        <w:rPr>
          <w:rFonts w:ascii="Times New Roman" w:hAnsi="Times New Roman"/>
          <w:i/>
          <w:sz w:val="24"/>
          <w:szCs w:val="24"/>
        </w:rPr>
        <w:t>Radzanower</w:t>
      </w:r>
      <w:proofErr w:type="spellEnd"/>
      <w:r w:rsidRPr="00951C8B">
        <w:rPr>
          <w:rFonts w:ascii="Times New Roman" w:hAnsi="Times New Roman"/>
          <w:i/>
          <w:sz w:val="24"/>
          <w:szCs w:val="24"/>
        </w:rPr>
        <w:t xml:space="preserve"> v. </w:t>
      </w:r>
      <w:proofErr w:type="spellStart"/>
      <w:r w:rsidRPr="00951C8B">
        <w:rPr>
          <w:rFonts w:ascii="Times New Roman" w:hAnsi="Times New Roman"/>
          <w:i/>
          <w:sz w:val="24"/>
          <w:szCs w:val="24"/>
        </w:rPr>
        <w:t>Touche</w:t>
      </w:r>
      <w:proofErr w:type="spellEnd"/>
      <w:r w:rsidRPr="00951C8B">
        <w:rPr>
          <w:rFonts w:ascii="Times New Roman" w:hAnsi="Times New Roman"/>
          <w:i/>
          <w:sz w:val="24"/>
          <w:szCs w:val="24"/>
        </w:rPr>
        <w:t xml:space="preserve"> Ross &amp; Co.</w:t>
      </w:r>
      <w:r w:rsidRPr="00951C8B">
        <w:rPr>
          <w:rFonts w:ascii="Times New Roman" w:hAnsi="Times New Roman"/>
          <w:sz w:val="24"/>
          <w:szCs w:val="24"/>
        </w:rPr>
        <w:t xml:space="preserve">, 426 U.S. 148, 154 (1976).  In either case, “the intention of the legislature to repeal must be clear and manifest.” </w:t>
      </w:r>
      <w:r w:rsidRPr="00951C8B">
        <w:rPr>
          <w:rFonts w:ascii="Times New Roman" w:hAnsi="Times New Roman"/>
          <w:i/>
          <w:sz w:val="24"/>
          <w:szCs w:val="24"/>
        </w:rPr>
        <w:t>Id</w:t>
      </w:r>
      <w:r w:rsidRPr="00951C8B">
        <w:rPr>
          <w:rFonts w:ascii="Times New Roman" w:hAnsi="Times New Roman"/>
          <w:sz w:val="24"/>
          <w:szCs w:val="24"/>
        </w:rPr>
        <w:t>.  To show irreconcilable conflict, “[</w:t>
      </w:r>
      <w:proofErr w:type="spellStart"/>
      <w:r w:rsidRPr="00951C8B">
        <w:rPr>
          <w:rFonts w:ascii="Times New Roman" w:hAnsi="Times New Roman"/>
          <w:sz w:val="24"/>
          <w:szCs w:val="24"/>
        </w:rPr>
        <w:t>i</w:t>
      </w:r>
      <w:proofErr w:type="spellEnd"/>
      <w:r w:rsidRPr="00951C8B">
        <w:rPr>
          <w:rFonts w:ascii="Times New Roman" w:hAnsi="Times New Roman"/>
          <w:sz w:val="24"/>
          <w:szCs w:val="24"/>
        </w:rPr>
        <w:t xml:space="preserve">]t is not enough to show that the two statutes produce differing results when applied to the same factual situation.” </w:t>
      </w:r>
      <w:r w:rsidRPr="00951C8B">
        <w:rPr>
          <w:rFonts w:ascii="Times New Roman" w:hAnsi="Times New Roman"/>
          <w:i/>
          <w:sz w:val="24"/>
          <w:szCs w:val="24"/>
        </w:rPr>
        <w:t>Id</w:t>
      </w:r>
      <w:r w:rsidRPr="00951C8B">
        <w:rPr>
          <w:rFonts w:ascii="Times New Roman" w:hAnsi="Times New Roman"/>
          <w:sz w:val="24"/>
          <w:szCs w:val="24"/>
        </w:rPr>
        <w:t>. at 155.  Instead, “[r]</w:t>
      </w:r>
      <w:proofErr w:type="spellStart"/>
      <w:r w:rsidRPr="00951C8B">
        <w:rPr>
          <w:rFonts w:ascii="Times New Roman" w:hAnsi="Times New Roman"/>
          <w:sz w:val="24"/>
          <w:szCs w:val="24"/>
        </w:rPr>
        <w:t>epeal</w:t>
      </w:r>
      <w:proofErr w:type="spellEnd"/>
      <w:r w:rsidRPr="00951C8B">
        <w:rPr>
          <w:rFonts w:ascii="Times New Roman" w:hAnsi="Times New Roman"/>
          <w:sz w:val="24"/>
          <w:szCs w:val="24"/>
        </w:rPr>
        <w:t xml:space="preserve"> is to be regarded as implied only if necessary to make the [later enacted law] work, and even then only to the minimum extent necessary.” </w:t>
      </w:r>
      <w:r w:rsidRPr="00951C8B">
        <w:rPr>
          <w:rFonts w:ascii="Times New Roman" w:hAnsi="Times New Roman"/>
          <w:i/>
          <w:sz w:val="24"/>
          <w:szCs w:val="24"/>
        </w:rPr>
        <w:t>Id.</w:t>
      </w:r>
      <w:r w:rsidRPr="00951C8B">
        <w:rPr>
          <w:rFonts w:ascii="Times New Roman" w:hAnsi="Times New Roman"/>
          <w:sz w:val="24"/>
          <w:szCs w:val="24"/>
        </w:rPr>
        <w:t xml:space="preserve"> (quoting </w:t>
      </w:r>
      <w:r w:rsidRPr="00951C8B">
        <w:rPr>
          <w:rFonts w:ascii="Times New Roman" w:hAnsi="Times New Roman"/>
          <w:i/>
          <w:sz w:val="24"/>
          <w:szCs w:val="24"/>
        </w:rPr>
        <w:t>Silver v. New York Stock Exchange</w:t>
      </w:r>
      <w:r w:rsidRPr="00951C8B">
        <w:rPr>
          <w:rFonts w:ascii="Times New Roman" w:hAnsi="Times New Roman"/>
          <w:sz w:val="24"/>
          <w:szCs w:val="24"/>
        </w:rPr>
        <w:t xml:space="preserve">, 373 U.S. 341, 357 (1963)).  If two statutes are “capable of co-existence,” courts must “regard each as effective” unless the intent of the legislature to the contrary is “clear and manifest.” </w:t>
      </w:r>
      <w:r w:rsidRPr="00951C8B">
        <w:rPr>
          <w:rFonts w:ascii="Times New Roman" w:hAnsi="Times New Roman"/>
          <w:i/>
          <w:sz w:val="24"/>
          <w:szCs w:val="24"/>
        </w:rPr>
        <w:t>Morton</w:t>
      </w:r>
      <w:r w:rsidRPr="00951C8B">
        <w:rPr>
          <w:rFonts w:ascii="Times New Roman" w:hAnsi="Times New Roman"/>
          <w:sz w:val="24"/>
          <w:szCs w:val="24"/>
        </w:rPr>
        <w:t xml:space="preserve">, 417 U.S. at 551 (citing </w:t>
      </w:r>
      <w:r w:rsidRPr="00951C8B">
        <w:rPr>
          <w:rFonts w:ascii="Times New Roman" w:hAnsi="Times New Roman"/>
          <w:i/>
          <w:sz w:val="24"/>
          <w:szCs w:val="24"/>
        </w:rPr>
        <w:t>United States v. Borden Co.</w:t>
      </w:r>
      <w:r w:rsidRPr="00951C8B">
        <w:rPr>
          <w:rFonts w:ascii="Times New Roman" w:hAnsi="Times New Roman"/>
          <w:sz w:val="24"/>
          <w:szCs w:val="24"/>
        </w:rPr>
        <w:t xml:space="preserve">, 308 U.S. 188, 198 (1939)).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The fact that two statutes regulate the same conduct and impose different rules does not mean that one repeals the other by implication; “</w:t>
      </w:r>
      <w:r w:rsidRPr="00951C8B">
        <w:rPr>
          <w:rFonts w:ascii="Times New Roman" w:hAnsi="Times New Roman"/>
          <w:iCs/>
          <w:sz w:val="24"/>
          <w:szCs w:val="24"/>
        </w:rPr>
        <w:t xml:space="preserve">as long as people can comply with both, then courts can enforce both.” </w:t>
      </w:r>
      <w:r w:rsidRPr="00951C8B">
        <w:rPr>
          <w:rFonts w:ascii="Times New Roman" w:hAnsi="Times New Roman"/>
          <w:i/>
          <w:sz w:val="24"/>
          <w:szCs w:val="24"/>
        </w:rPr>
        <w:t>Randolph</w:t>
      </w:r>
      <w:r w:rsidRPr="00951C8B">
        <w:rPr>
          <w:rFonts w:ascii="Times New Roman" w:hAnsi="Times New Roman"/>
          <w:sz w:val="24"/>
          <w:szCs w:val="24"/>
        </w:rPr>
        <w:t>, 368 F.3d at 730</w:t>
      </w:r>
      <w:r w:rsidRPr="00951C8B">
        <w:rPr>
          <w:rFonts w:ascii="Times New Roman" w:hAnsi="Times New Roman"/>
          <w:iCs/>
          <w:sz w:val="24"/>
          <w:szCs w:val="24"/>
        </w:rPr>
        <w:t xml:space="preserve">. “Whether overlapping and not entirely congruent remedial systems can coexist is a question with a long history at the Supreme Court, and an established answer: yes,” even when “the application of one system is jarring against the background of another.” </w:t>
      </w:r>
      <w:r w:rsidRPr="00951C8B">
        <w:rPr>
          <w:rFonts w:ascii="Times New Roman" w:hAnsi="Times New Roman"/>
          <w:i/>
          <w:iCs/>
          <w:sz w:val="24"/>
          <w:szCs w:val="24"/>
        </w:rPr>
        <w:t>Id</w:t>
      </w:r>
      <w:r w:rsidRPr="00951C8B">
        <w:rPr>
          <w:rFonts w:ascii="Times New Roman" w:hAnsi="Times New Roman"/>
          <w:iCs/>
          <w:sz w:val="24"/>
          <w:szCs w:val="24"/>
        </w:rPr>
        <w:t>. (collecting cases).</w:t>
      </w:r>
      <w:r w:rsidRPr="00951C8B">
        <w:rPr>
          <w:rFonts w:ascii="Times New Roman" w:hAnsi="Times New Roman"/>
          <w:sz w:val="24"/>
          <w:szCs w:val="24"/>
        </w:rPr>
        <w:t xml:space="preserve"> </w:t>
      </w:r>
      <w:r w:rsidRPr="00951C8B">
        <w:rPr>
          <w:rFonts w:ascii="Times New Roman" w:hAnsi="Times New Roman"/>
          <w:i/>
          <w:sz w:val="24"/>
          <w:szCs w:val="24"/>
        </w:rPr>
        <w:t xml:space="preserve">See also </w:t>
      </w:r>
      <w:proofErr w:type="spellStart"/>
      <w:r w:rsidRPr="00951C8B">
        <w:rPr>
          <w:rFonts w:ascii="Times New Roman" w:hAnsi="Times New Roman"/>
          <w:i/>
          <w:iCs/>
          <w:sz w:val="24"/>
          <w:szCs w:val="24"/>
        </w:rPr>
        <w:t>Pom</w:t>
      </w:r>
      <w:proofErr w:type="spellEnd"/>
      <w:r w:rsidRPr="00951C8B">
        <w:rPr>
          <w:rFonts w:ascii="Times New Roman" w:hAnsi="Times New Roman"/>
          <w:i/>
          <w:iCs/>
          <w:sz w:val="24"/>
          <w:szCs w:val="24"/>
        </w:rPr>
        <w:t xml:space="preserve"> Wonderful LLC v. Coca Cola Co</w:t>
      </w:r>
      <w:r w:rsidRPr="00951C8B">
        <w:rPr>
          <w:rFonts w:ascii="Times New Roman" w:hAnsi="Times New Roman"/>
          <w:iCs/>
          <w:sz w:val="24"/>
          <w:szCs w:val="24"/>
        </w:rPr>
        <w:t xml:space="preserve">., 134 </w:t>
      </w:r>
      <w:proofErr w:type="spellStart"/>
      <w:r w:rsidRPr="00951C8B">
        <w:rPr>
          <w:rFonts w:ascii="Times New Roman" w:hAnsi="Times New Roman"/>
          <w:iCs/>
          <w:sz w:val="24"/>
          <w:szCs w:val="24"/>
        </w:rPr>
        <w:t>S.Ct</w:t>
      </w:r>
      <w:proofErr w:type="spellEnd"/>
      <w:r w:rsidRPr="00951C8B">
        <w:rPr>
          <w:rFonts w:ascii="Times New Roman" w:hAnsi="Times New Roman"/>
          <w:iCs/>
          <w:sz w:val="24"/>
          <w:szCs w:val="24"/>
        </w:rPr>
        <w:t>. 2228, 2238 (2014) (Food, Drug, and Cosmetic Act and the Lanham Act “complement each other” and “</w:t>
      </w:r>
      <w:r w:rsidRPr="00951C8B">
        <w:rPr>
          <w:rFonts w:ascii="Times New Roman" w:hAnsi="Times New Roman"/>
          <w:sz w:val="24"/>
          <w:szCs w:val="24"/>
        </w:rPr>
        <w:t>each has its own scope and purpose;” counseling against finding that one “preclude[s] the operation of the other”);</w:t>
      </w:r>
      <w:r w:rsidRPr="00951C8B">
        <w:rPr>
          <w:rFonts w:ascii="Times New Roman" w:hAnsi="Times New Roman"/>
          <w:i/>
          <w:sz w:val="24"/>
          <w:szCs w:val="24"/>
        </w:rPr>
        <w:t xml:space="preserve"> Branch</w:t>
      </w:r>
      <w:r w:rsidRPr="00951C8B">
        <w:rPr>
          <w:rFonts w:ascii="Times New Roman" w:hAnsi="Times New Roman"/>
          <w:sz w:val="24"/>
          <w:szCs w:val="24"/>
        </w:rPr>
        <w:t>, 538 U.S. at 273 (no repeal by implication even where the texts of the statutes “are in tension” and four of the five paragraphs in the older statute had already been ruled unconstitutional);</w:t>
      </w:r>
      <w:r w:rsidRPr="00951C8B">
        <w:rPr>
          <w:rFonts w:ascii="Times New Roman" w:hAnsi="Times New Roman"/>
          <w:i/>
          <w:sz w:val="24"/>
          <w:szCs w:val="24"/>
        </w:rPr>
        <w:t xml:space="preserve"> </w:t>
      </w:r>
      <w:r w:rsidRPr="00951C8B">
        <w:rPr>
          <w:rFonts w:ascii="Times New Roman" w:hAnsi="Times New Roman"/>
          <w:i/>
          <w:iCs/>
          <w:sz w:val="24"/>
          <w:szCs w:val="24"/>
        </w:rPr>
        <w:t>J.E.M. Ag Supply, Inc. v. Pioneer Hi-Bred Intern., Inc.</w:t>
      </w:r>
      <w:r w:rsidRPr="00951C8B">
        <w:rPr>
          <w:rFonts w:ascii="Times New Roman" w:hAnsi="Times New Roman"/>
          <w:iCs/>
          <w:sz w:val="24"/>
          <w:szCs w:val="24"/>
        </w:rPr>
        <w:t>, 534 U.S. 124, 142 (2001) (no repeal by implication where there was no “positive repugnancy” between two statutes applicable to plant patents where one imposed “more stringent requirements” for obtaining a patent).</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The ADA</w:t>
      </w:r>
      <w:r w:rsidR="00A14056">
        <w:rPr>
          <w:rFonts w:ascii="Times New Roman" w:hAnsi="Times New Roman"/>
          <w:sz w:val="24"/>
          <w:szCs w:val="24"/>
        </w:rPr>
        <w:t xml:space="preserve"> and</w:t>
      </w:r>
      <w:r w:rsidRPr="00951C8B">
        <w:rPr>
          <w:rFonts w:ascii="Times New Roman" w:hAnsi="Times New Roman"/>
          <w:sz w:val="24"/>
          <w:szCs w:val="24"/>
        </w:rPr>
        <w:t xml:space="preserve"> HIPAA</w:t>
      </w:r>
      <w:r w:rsidR="00A14056">
        <w:rPr>
          <w:rFonts w:ascii="Times New Roman" w:hAnsi="Times New Roman"/>
          <w:sz w:val="24"/>
          <w:szCs w:val="24"/>
        </w:rPr>
        <w:t>/</w:t>
      </w:r>
      <w:r w:rsidRPr="00951C8B">
        <w:rPr>
          <w:rFonts w:ascii="Times New Roman" w:hAnsi="Times New Roman"/>
          <w:sz w:val="24"/>
          <w:szCs w:val="24"/>
        </w:rPr>
        <w:t xml:space="preserve">ACA are capable of coexistence, and it is possible to comply with </w:t>
      </w:r>
      <w:r w:rsidR="00A14056">
        <w:rPr>
          <w:rFonts w:ascii="Times New Roman" w:hAnsi="Times New Roman"/>
          <w:sz w:val="24"/>
          <w:szCs w:val="24"/>
        </w:rPr>
        <w:t>both simultaneously</w:t>
      </w:r>
      <w:r w:rsidRPr="00951C8B">
        <w:rPr>
          <w:rFonts w:ascii="Times New Roman" w:hAnsi="Times New Roman"/>
          <w:sz w:val="24"/>
          <w:szCs w:val="24"/>
        </w:rPr>
        <w:t>.</w:t>
      </w:r>
      <w:r w:rsidR="00A14056">
        <w:rPr>
          <w:rFonts w:ascii="Times New Roman" w:hAnsi="Times New Roman"/>
          <w:sz w:val="24"/>
          <w:szCs w:val="24"/>
        </w:rPr>
        <w:t xml:space="preserve"> </w:t>
      </w:r>
      <w:r w:rsidRPr="00951C8B">
        <w:rPr>
          <w:rFonts w:ascii="Times New Roman" w:hAnsi="Times New Roman"/>
          <w:sz w:val="24"/>
          <w:szCs w:val="24"/>
        </w:rPr>
        <w:t xml:space="preserve"> The ADA</w:t>
      </w:r>
      <w:r w:rsidR="00A14056">
        <w:rPr>
          <w:rFonts w:ascii="Times New Roman" w:hAnsi="Times New Roman"/>
          <w:sz w:val="24"/>
          <w:szCs w:val="24"/>
        </w:rPr>
        <w:t>’s medical inquiries provisions</w:t>
      </w:r>
      <w:r w:rsidRPr="00951C8B">
        <w:rPr>
          <w:rFonts w:ascii="Times New Roman" w:hAnsi="Times New Roman"/>
          <w:sz w:val="24"/>
          <w:szCs w:val="24"/>
        </w:rPr>
        <w:t xml:space="preserve"> do not bar employers from imposing the penalties of up to 30% of employee premiums permitted by the ACA/HIPAA in health-contingent wellness programs.  </w:t>
      </w:r>
      <w:r w:rsidR="00A14056">
        <w:rPr>
          <w:rFonts w:ascii="Times New Roman" w:hAnsi="Times New Roman"/>
          <w:sz w:val="24"/>
          <w:szCs w:val="24"/>
        </w:rPr>
        <w:t>They</w:t>
      </w:r>
      <w:r w:rsidRPr="00951C8B">
        <w:rPr>
          <w:rFonts w:ascii="Times New Roman" w:hAnsi="Times New Roman"/>
          <w:sz w:val="24"/>
          <w:szCs w:val="24"/>
        </w:rPr>
        <w:t xml:space="preserve"> permit employers to impose penalties of that amount in order to induce employees to participate in wellness program services, meet health targets, </w:t>
      </w:r>
      <w:r w:rsidRPr="00951C8B">
        <w:rPr>
          <w:rFonts w:ascii="Times New Roman" w:hAnsi="Times New Roman"/>
          <w:sz w:val="24"/>
          <w:szCs w:val="24"/>
        </w:rPr>
        <w:lastRenderedPageBreak/>
        <w:t xml:space="preserve">and/or participate in health risk assessments, as long as they offer reasonable accommodations and avoid penalizing employees for failing to answer those health risk assessments that seek medical information or undergo medical exams.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It is routine for two statutes that apply to the same conduct to impose independent obligations, and one statute may impose more extensive obligations than the other. For example, both the Individuals with Disabilities Education Act (“IDEA”) and the ADA protect the rights of students with disabilities, and a school can violate one while complying with the other. </w:t>
      </w:r>
      <w:r w:rsidRPr="00951C8B">
        <w:rPr>
          <w:rFonts w:ascii="Times New Roman" w:hAnsi="Times New Roman"/>
          <w:i/>
          <w:sz w:val="24"/>
          <w:szCs w:val="24"/>
        </w:rPr>
        <w:t>See, e.g.,</w:t>
      </w:r>
      <w:r w:rsidRPr="00951C8B">
        <w:rPr>
          <w:rFonts w:ascii="Times New Roman" w:hAnsi="Times New Roman"/>
          <w:sz w:val="24"/>
          <w:szCs w:val="24"/>
        </w:rPr>
        <w:t xml:space="preserve"> </w:t>
      </w:r>
      <w:r w:rsidRPr="00951C8B">
        <w:rPr>
          <w:rFonts w:ascii="Times New Roman" w:hAnsi="Times New Roman"/>
          <w:i/>
          <w:sz w:val="24"/>
          <w:szCs w:val="24"/>
        </w:rPr>
        <w:t>K.M. v. Tustin Unified School Dist.</w:t>
      </w:r>
      <w:r w:rsidRPr="00951C8B">
        <w:rPr>
          <w:rFonts w:ascii="Times New Roman" w:hAnsi="Times New Roman"/>
          <w:sz w:val="24"/>
          <w:szCs w:val="24"/>
        </w:rPr>
        <w:t xml:space="preserve">, 725 F.3d 1088 (9th Cir. 2013) (IDEA coexists with ADA and public schools must comply with both; while public school’s failure to provide word-for-word transcription service to deaf student did not violate IDEA’s requirement to provide a free and appropriate public education, that did not foreclose claim that this failure violated ADA’s requirement to provide student with equally effective communication); Statement of Interest of the United States of America in </w:t>
      </w:r>
      <w:r w:rsidRPr="00951C8B">
        <w:rPr>
          <w:rFonts w:ascii="Times New Roman" w:hAnsi="Times New Roman"/>
          <w:i/>
          <w:sz w:val="24"/>
          <w:szCs w:val="24"/>
        </w:rPr>
        <w:t>S.S. v. Springfield Public Schools</w:t>
      </w:r>
      <w:r w:rsidRPr="00951C8B">
        <w:rPr>
          <w:rFonts w:ascii="Times New Roman" w:hAnsi="Times New Roman"/>
          <w:sz w:val="24"/>
          <w:szCs w:val="24"/>
        </w:rPr>
        <w:t xml:space="preserve">, Civ. Action No. 3:14-cv-30116, at 2, available at </w:t>
      </w:r>
      <w:hyperlink r:id="rId8" w:history="1">
        <w:r w:rsidRPr="00951C8B">
          <w:rPr>
            <w:rStyle w:val="Hyperlink"/>
            <w:rFonts w:ascii="Times New Roman" w:hAnsi="Times New Roman"/>
            <w:sz w:val="24"/>
            <w:szCs w:val="24"/>
          </w:rPr>
          <w:t>www.ada.gov/briefs/springfield_ma_soi.pdf</w:t>
        </w:r>
      </w:hyperlink>
      <w:r w:rsidRPr="00951C8B">
        <w:rPr>
          <w:rFonts w:ascii="Times New Roman" w:hAnsi="Times New Roman"/>
          <w:sz w:val="24"/>
          <w:szCs w:val="24"/>
        </w:rPr>
        <w:t xml:space="preserve"> (“. . . while the ADA and IDEA provide complementary protections for many students with disabilities, they are not identical in purpose or scope and impose distinct obligations on school districts in furtherance of their respective statutory mandates. . . . [</w:t>
      </w:r>
      <w:proofErr w:type="gramStart"/>
      <w:r w:rsidRPr="00951C8B">
        <w:rPr>
          <w:rFonts w:ascii="Times New Roman" w:hAnsi="Times New Roman"/>
          <w:sz w:val="24"/>
          <w:szCs w:val="24"/>
        </w:rPr>
        <w:t>the</w:t>
      </w:r>
      <w:proofErr w:type="gramEnd"/>
      <w:r w:rsidRPr="00951C8B">
        <w:rPr>
          <w:rFonts w:ascii="Times New Roman" w:hAnsi="Times New Roman"/>
          <w:sz w:val="24"/>
          <w:szCs w:val="24"/>
        </w:rPr>
        <w:t xml:space="preserve"> ADA] may require different or additional measures to avoid discrimination against children with disabilities than the measures that are required to comply with IDEA.”).  </w:t>
      </w:r>
    </w:p>
    <w:p w:rsidR="009B645E" w:rsidRPr="00951C8B" w:rsidRDefault="009B645E" w:rsidP="00951C8B">
      <w:pPr>
        <w:autoSpaceDE w:val="0"/>
        <w:autoSpaceDN w:val="0"/>
        <w:adjustRightInd w:val="0"/>
        <w:rPr>
          <w:rFonts w:ascii="Times New Roman" w:hAnsi="Times New Roman"/>
          <w:bCs/>
          <w:sz w:val="24"/>
          <w:szCs w:val="24"/>
        </w:rPr>
      </w:pPr>
      <w:r w:rsidRPr="00951C8B">
        <w:rPr>
          <w:rFonts w:ascii="Times New Roman" w:hAnsi="Times New Roman"/>
          <w:sz w:val="24"/>
          <w:szCs w:val="24"/>
        </w:rPr>
        <w:t xml:space="preserve">Similarly, the Medicaid Act expressly permits states to limit the number of Medicaid recipients they serve under home and community-based services waiver programs, but the ADA’s integration mandate may require states to seek an increase in the waiver “cap” in order to avoid needlessly institutionalizing people with disabilities.  </w:t>
      </w:r>
      <w:r w:rsidRPr="00951C8B">
        <w:rPr>
          <w:rFonts w:ascii="Times New Roman" w:hAnsi="Times New Roman"/>
          <w:i/>
          <w:sz w:val="24"/>
          <w:szCs w:val="24"/>
        </w:rPr>
        <w:t>See</w:t>
      </w:r>
      <w:r w:rsidRPr="00951C8B">
        <w:rPr>
          <w:rFonts w:ascii="Times New Roman" w:hAnsi="Times New Roman"/>
          <w:sz w:val="24"/>
          <w:szCs w:val="24"/>
        </w:rPr>
        <w:t xml:space="preserve"> United States Dep’t of Justice, </w:t>
      </w:r>
      <w:r w:rsidRPr="00951C8B">
        <w:rPr>
          <w:rFonts w:ascii="Times New Roman" w:hAnsi="Times New Roman"/>
          <w:bCs/>
          <w:i/>
          <w:sz w:val="24"/>
          <w:szCs w:val="24"/>
        </w:rPr>
        <w:t xml:space="preserve">Statement of the Department of Justice on Enforcement of the Integration Mandate of Title II of the Americans with Disabilities Act and </w:t>
      </w:r>
      <w:r w:rsidRPr="00951C8B">
        <w:rPr>
          <w:rFonts w:ascii="Times New Roman" w:hAnsi="Times New Roman"/>
          <w:bCs/>
          <w:i/>
          <w:iCs/>
          <w:sz w:val="24"/>
          <w:szCs w:val="24"/>
        </w:rPr>
        <w:t xml:space="preserve">Olmstead v. L.C., </w:t>
      </w:r>
      <w:r w:rsidRPr="00951C8B">
        <w:rPr>
          <w:rFonts w:ascii="Times New Roman" w:hAnsi="Times New Roman"/>
          <w:bCs/>
          <w:i/>
          <w:sz w:val="24"/>
          <w:szCs w:val="24"/>
        </w:rPr>
        <w:t>Questions and Answers on the</w:t>
      </w:r>
      <w:r w:rsidRPr="00951C8B">
        <w:rPr>
          <w:rFonts w:ascii="Times New Roman" w:hAnsi="Times New Roman"/>
          <w:b/>
          <w:bCs/>
          <w:sz w:val="24"/>
          <w:szCs w:val="24"/>
        </w:rPr>
        <w:t xml:space="preserve"> </w:t>
      </w:r>
      <w:r w:rsidRPr="00951C8B">
        <w:rPr>
          <w:rFonts w:ascii="Times New Roman" w:hAnsi="Times New Roman"/>
          <w:bCs/>
          <w:i/>
          <w:sz w:val="24"/>
          <w:szCs w:val="24"/>
        </w:rPr>
        <w:t xml:space="preserve">ADA’s Integration Mandate and </w:t>
      </w:r>
      <w:r w:rsidRPr="00951C8B">
        <w:rPr>
          <w:rFonts w:ascii="Times New Roman" w:hAnsi="Times New Roman"/>
          <w:bCs/>
          <w:i/>
          <w:iCs/>
          <w:sz w:val="24"/>
          <w:szCs w:val="24"/>
        </w:rPr>
        <w:t xml:space="preserve">Olmstead </w:t>
      </w:r>
      <w:r w:rsidRPr="00951C8B">
        <w:rPr>
          <w:rFonts w:ascii="Times New Roman" w:hAnsi="Times New Roman"/>
          <w:bCs/>
          <w:i/>
          <w:sz w:val="24"/>
          <w:szCs w:val="24"/>
        </w:rPr>
        <w:t xml:space="preserve">Enforcement, Question 7 </w:t>
      </w:r>
      <w:hyperlink r:id="rId9" w:history="1">
        <w:r w:rsidRPr="00951C8B">
          <w:rPr>
            <w:rStyle w:val="Hyperlink"/>
            <w:rFonts w:ascii="Times New Roman" w:hAnsi="Times New Roman"/>
            <w:bCs/>
            <w:sz w:val="24"/>
            <w:szCs w:val="24"/>
          </w:rPr>
          <w:t>http://www.ada.gov/olmstead/q&amp;a_olmstead.pdf</w:t>
        </w:r>
      </w:hyperlink>
      <w:r w:rsidRPr="00951C8B">
        <w:rPr>
          <w:rFonts w:ascii="Times New Roman" w:hAnsi="Times New Roman"/>
          <w:sz w:val="24"/>
          <w:szCs w:val="24"/>
        </w:rPr>
        <w:t xml:space="preserve">.  </w:t>
      </w:r>
      <w:r w:rsidRPr="00951C8B">
        <w:rPr>
          <w:rFonts w:ascii="Times New Roman" w:hAnsi="Times New Roman"/>
          <w:i/>
          <w:sz w:val="24"/>
          <w:szCs w:val="24"/>
        </w:rPr>
        <w:t>See also Makin v. Hawaii</w:t>
      </w:r>
      <w:r w:rsidRPr="00951C8B">
        <w:rPr>
          <w:rFonts w:ascii="Times New Roman" w:hAnsi="Times New Roman"/>
          <w:sz w:val="24"/>
          <w:szCs w:val="24"/>
        </w:rPr>
        <w:t xml:space="preserve">, </w:t>
      </w:r>
      <w:r w:rsidRPr="00951C8B">
        <w:rPr>
          <w:rFonts w:ascii="Times New Roman" w:hAnsi="Times New Roman"/>
          <w:color w:val="292526"/>
          <w:sz w:val="24"/>
          <w:szCs w:val="24"/>
        </w:rPr>
        <w:t>114 F. Supp. 2d 1017, 1034 (D. Haw. 1999).</w:t>
      </w:r>
      <w:r w:rsidR="00951C8B">
        <w:rPr>
          <w:rFonts w:ascii="Times New Roman" w:hAnsi="Times New Roman"/>
          <w:color w:val="292526"/>
          <w:sz w:val="24"/>
          <w:szCs w:val="24"/>
        </w:rPr>
        <w:t xml:space="preserve">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Many other areas of the law are subject to differing requirements of at least two statutes. </w:t>
      </w:r>
      <w:r w:rsidRPr="00951C8B">
        <w:rPr>
          <w:rFonts w:ascii="Times New Roman" w:hAnsi="Times New Roman"/>
          <w:i/>
          <w:sz w:val="24"/>
          <w:szCs w:val="24"/>
        </w:rPr>
        <w:t>See</w:t>
      </w:r>
      <w:r w:rsidRPr="00951C8B">
        <w:rPr>
          <w:rFonts w:ascii="Times New Roman" w:hAnsi="Times New Roman"/>
          <w:sz w:val="24"/>
          <w:szCs w:val="24"/>
        </w:rPr>
        <w:t xml:space="preserve">, </w:t>
      </w:r>
      <w:r w:rsidRPr="00951C8B">
        <w:rPr>
          <w:rFonts w:ascii="Times New Roman" w:hAnsi="Times New Roman"/>
          <w:i/>
          <w:sz w:val="24"/>
          <w:szCs w:val="24"/>
        </w:rPr>
        <w:t xml:space="preserve">e.g., </w:t>
      </w:r>
      <w:proofErr w:type="spellStart"/>
      <w:r w:rsidRPr="00951C8B">
        <w:rPr>
          <w:rFonts w:ascii="Times New Roman" w:hAnsi="Times New Roman"/>
          <w:i/>
          <w:iCs/>
          <w:sz w:val="24"/>
          <w:szCs w:val="24"/>
        </w:rPr>
        <w:t>Pom</w:t>
      </w:r>
      <w:proofErr w:type="spellEnd"/>
      <w:r w:rsidRPr="00951C8B">
        <w:rPr>
          <w:rFonts w:ascii="Times New Roman" w:hAnsi="Times New Roman"/>
          <w:i/>
          <w:iCs/>
          <w:sz w:val="24"/>
          <w:szCs w:val="24"/>
        </w:rPr>
        <w:t xml:space="preserve"> Wonderful</w:t>
      </w:r>
      <w:r w:rsidRPr="00951C8B">
        <w:rPr>
          <w:rFonts w:ascii="Times New Roman" w:hAnsi="Times New Roman"/>
          <w:iCs/>
          <w:sz w:val="24"/>
          <w:szCs w:val="24"/>
        </w:rPr>
        <w:t xml:space="preserve">, 134 </w:t>
      </w:r>
      <w:proofErr w:type="spellStart"/>
      <w:r w:rsidRPr="00951C8B">
        <w:rPr>
          <w:rFonts w:ascii="Times New Roman" w:hAnsi="Times New Roman"/>
          <w:iCs/>
          <w:sz w:val="24"/>
          <w:szCs w:val="24"/>
        </w:rPr>
        <w:t>S.Ct</w:t>
      </w:r>
      <w:proofErr w:type="spellEnd"/>
      <w:r w:rsidRPr="00951C8B">
        <w:rPr>
          <w:rFonts w:ascii="Times New Roman" w:hAnsi="Times New Roman"/>
          <w:iCs/>
          <w:sz w:val="24"/>
          <w:szCs w:val="24"/>
        </w:rPr>
        <w:t>. at 2238 (food labels are regulated by the Food, Drug, and Cosmetic Act but still subject to private suit under the Lanham Act for false advertising</w:t>
      </w:r>
      <w:r w:rsidRPr="00951C8B">
        <w:rPr>
          <w:rFonts w:ascii="Times New Roman" w:hAnsi="Times New Roman"/>
          <w:sz w:val="24"/>
          <w:szCs w:val="24"/>
        </w:rPr>
        <w:t xml:space="preserve">); </w:t>
      </w:r>
      <w:r w:rsidRPr="00951C8B">
        <w:rPr>
          <w:rFonts w:ascii="Times New Roman" w:hAnsi="Times New Roman"/>
          <w:i/>
          <w:sz w:val="24"/>
          <w:szCs w:val="24"/>
        </w:rPr>
        <w:t xml:space="preserve">Verizon Communications, Inc. v. Law Offices of Curtis V. </w:t>
      </w:r>
      <w:proofErr w:type="spellStart"/>
      <w:r w:rsidRPr="00951C8B">
        <w:rPr>
          <w:rFonts w:ascii="Times New Roman" w:hAnsi="Times New Roman"/>
          <w:i/>
          <w:sz w:val="24"/>
          <w:szCs w:val="24"/>
        </w:rPr>
        <w:t>Trinko</w:t>
      </w:r>
      <w:proofErr w:type="spellEnd"/>
      <w:r w:rsidRPr="00951C8B">
        <w:rPr>
          <w:rFonts w:ascii="Times New Roman" w:hAnsi="Times New Roman"/>
          <w:i/>
          <w:sz w:val="24"/>
          <w:szCs w:val="24"/>
        </w:rPr>
        <w:t>, LLP</w:t>
      </w:r>
      <w:r w:rsidRPr="00951C8B">
        <w:rPr>
          <w:rFonts w:ascii="Times New Roman" w:hAnsi="Times New Roman"/>
          <w:sz w:val="24"/>
          <w:szCs w:val="24"/>
        </w:rPr>
        <w:t>, 540 U.S. 398, 405-07 (2004) (telephone companies subject to requirements of both Telecommunications Act of 1996 and Sherman Act);</w:t>
      </w:r>
      <w:r w:rsidRPr="00951C8B">
        <w:rPr>
          <w:rFonts w:ascii="Times New Roman" w:hAnsi="Times New Roman"/>
          <w:i/>
          <w:sz w:val="24"/>
          <w:szCs w:val="24"/>
        </w:rPr>
        <w:t xml:space="preserve"> Randolph</w:t>
      </w:r>
      <w:r w:rsidRPr="00951C8B">
        <w:rPr>
          <w:rFonts w:ascii="Times New Roman" w:hAnsi="Times New Roman"/>
          <w:sz w:val="24"/>
          <w:szCs w:val="24"/>
        </w:rPr>
        <w:t xml:space="preserve">, 368 F.3d at 730-33 (debt collectors must comply with both the general Bankruptcy Code and the debt-collection specific Fair Debt Collection Practices Act despite different obligations and defenses); </w:t>
      </w:r>
      <w:r w:rsidRPr="00951C8B">
        <w:rPr>
          <w:rFonts w:ascii="Times New Roman" w:hAnsi="Times New Roman"/>
          <w:i/>
          <w:sz w:val="24"/>
          <w:szCs w:val="24"/>
        </w:rPr>
        <w:t>Arriaga v. Florida Pacific Farms, LLC</w:t>
      </w:r>
      <w:r w:rsidRPr="00951C8B">
        <w:rPr>
          <w:rFonts w:ascii="Times New Roman" w:hAnsi="Times New Roman"/>
          <w:sz w:val="24"/>
          <w:szCs w:val="24"/>
        </w:rPr>
        <w:t xml:space="preserve">, 305 F.3d 1228, 1235-36 (11th Cir. 2002) (no conflict between the Fair Labor Standards Act and Immigration and Nationality Act where the former requires reimbursing guest workers at an earlier time than the latter, because complying with the former “would satisfy both statutes”); </w:t>
      </w:r>
      <w:proofErr w:type="spellStart"/>
      <w:r w:rsidRPr="00951C8B">
        <w:rPr>
          <w:rFonts w:ascii="Times New Roman" w:hAnsi="Times New Roman"/>
          <w:i/>
          <w:sz w:val="24"/>
          <w:szCs w:val="24"/>
        </w:rPr>
        <w:lastRenderedPageBreak/>
        <w:t>Timberlane</w:t>
      </w:r>
      <w:proofErr w:type="spellEnd"/>
      <w:r w:rsidRPr="00951C8B">
        <w:rPr>
          <w:rFonts w:ascii="Times New Roman" w:hAnsi="Times New Roman"/>
          <w:i/>
          <w:sz w:val="24"/>
          <w:szCs w:val="24"/>
        </w:rPr>
        <w:t xml:space="preserve"> Lumber Co. v. Bank of America, N.T. and S.A.</w:t>
      </w:r>
      <w:r w:rsidRPr="00951C8B">
        <w:rPr>
          <w:rFonts w:ascii="Times New Roman" w:hAnsi="Times New Roman"/>
          <w:sz w:val="24"/>
          <w:szCs w:val="24"/>
        </w:rPr>
        <w:t xml:space="preserve">, 549 F.2d 597, 600 n.1 (2d Cir. 1976) (“The Wilson Tariff Act is a less comprehensive statute than the </w:t>
      </w:r>
      <w:r w:rsidRPr="00951C8B">
        <w:rPr>
          <w:rStyle w:val="cosearchterm"/>
          <w:rFonts w:ascii="Times New Roman" w:hAnsi="Times New Roman"/>
          <w:sz w:val="24"/>
          <w:szCs w:val="24"/>
        </w:rPr>
        <w:t>Sherman</w:t>
      </w:r>
      <w:r w:rsidRPr="00951C8B">
        <w:rPr>
          <w:rFonts w:ascii="Times New Roman" w:hAnsi="Times New Roman"/>
          <w:sz w:val="24"/>
          <w:szCs w:val="24"/>
        </w:rPr>
        <w:t xml:space="preserve"> </w:t>
      </w:r>
      <w:r w:rsidRPr="00951C8B">
        <w:rPr>
          <w:rStyle w:val="cosearchterm"/>
          <w:rFonts w:ascii="Times New Roman" w:hAnsi="Times New Roman"/>
          <w:sz w:val="24"/>
          <w:szCs w:val="24"/>
        </w:rPr>
        <w:t>Act</w:t>
      </w:r>
      <w:r w:rsidRPr="00951C8B">
        <w:rPr>
          <w:rFonts w:ascii="Times New Roman" w:hAnsi="Times New Roman"/>
          <w:sz w:val="24"/>
          <w:szCs w:val="24"/>
        </w:rPr>
        <w:t>, often applied in combination with it.”).</w:t>
      </w:r>
    </w:p>
    <w:p w:rsidR="009B645E" w:rsidRPr="00951C8B" w:rsidRDefault="009B645E" w:rsidP="00951C8B">
      <w:pPr>
        <w:pStyle w:val="ListParagraph"/>
        <w:numPr>
          <w:ilvl w:val="0"/>
          <w:numId w:val="10"/>
        </w:numPr>
        <w:rPr>
          <w:rFonts w:ascii="Times New Roman" w:hAnsi="Times New Roman"/>
          <w:i/>
          <w:sz w:val="24"/>
          <w:szCs w:val="24"/>
        </w:rPr>
      </w:pPr>
      <w:r w:rsidRPr="00951C8B">
        <w:rPr>
          <w:rFonts w:ascii="Times New Roman" w:hAnsi="Times New Roman"/>
          <w:i/>
          <w:sz w:val="24"/>
          <w:szCs w:val="24"/>
        </w:rPr>
        <w:t>Even if the laws did conflict, the ADA’s requirements concerning medical inquiries should be given effect because they are more specific than the relevant ACA provisions.</w:t>
      </w:r>
    </w:p>
    <w:p w:rsidR="009B645E" w:rsidRPr="00951C8B" w:rsidRDefault="009B645E" w:rsidP="00951C8B">
      <w:pPr>
        <w:pStyle w:val="Default"/>
        <w:spacing w:after="200" w:line="276" w:lineRule="auto"/>
      </w:pPr>
      <w:r w:rsidRPr="00951C8B">
        <w:t>“Where there is no clear intention otherwise, a specific statute will not be controlled or nullified by a general one, regardless of the priority of enactment.”</w:t>
      </w:r>
      <w:r w:rsidRPr="00951C8B">
        <w:rPr>
          <w:rStyle w:val="FootnoteReference"/>
        </w:rPr>
        <w:footnoteReference w:id="23"/>
      </w:r>
      <w:r w:rsidRPr="00951C8B">
        <w:t xml:space="preserve"> With respect to wellness program medical inquiries, the ADA is more specific than the ACA. The ADA specifically addresses medical inquiries in wellness programs, barring medical inquiries and exams that are not job-related except for “</w:t>
      </w:r>
      <w:r w:rsidRPr="00951C8B">
        <w:rPr>
          <w:i/>
        </w:rPr>
        <w:t>voluntary</w:t>
      </w:r>
      <w:r w:rsidRPr="00951C8B">
        <w:t xml:space="preserve"> medical examinations, including </w:t>
      </w:r>
      <w:r w:rsidRPr="00951C8B">
        <w:rPr>
          <w:i/>
        </w:rPr>
        <w:t>voluntary</w:t>
      </w:r>
      <w:r w:rsidRPr="00951C8B">
        <w:t xml:space="preserve"> medical histories, which are part of an employee health program available to employees at that work site.”  42 U.S.C. §§ 12112(d</w:t>
      </w:r>
      <w:proofErr w:type="gramStart"/>
      <w:r w:rsidRPr="00951C8B">
        <w:t>)(</w:t>
      </w:r>
      <w:proofErr w:type="gramEnd"/>
      <w:r w:rsidRPr="00951C8B">
        <w:t>4)(A), (d)(4)(B) (emphasis added). By contrast, the relevant ACA provision says nothing about medical inquiries and exams. Instead, it lists allowable methods to incentivize “participation” in certain kinds of wellness programs. Between the ACA’s provisions permitting incentives in wellness programs and the ADA’s provisions concerning medical inquiries in employee health programs, the ADA’s exception trumps the broader language in the ACA.</w:t>
      </w:r>
    </w:p>
    <w:p w:rsidR="009B645E" w:rsidRPr="00951C8B" w:rsidRDefault="009B645E" w:rsidP="00951C8B">
      <w:pPr>
        <w:pStyle w:val="ListParagraph"/>
        <w:numPr>
          <w:ilvl w:val="0"/>
          <w:numId w:val="10"/>
        </w:numPr>
        <w:rPr>
          <w:rFonts w:ascii="Times New Roman" w:hAnsi="Times New Roman"/>
          <w:i/>
          <w:sz w:val="24"/>
          <w:szCs w:val="24"/>
        </w:rPr>
      </w:pPr>
      <w:r w:rsidRPr="00951C8B">
        <w:rPr>
          <w:rFonts w:ascii="Times New Roman" w:hAnsi="Times New Roman"/>
          <w:i/>
          <w:sz w:val="24"/>
          <w:szCs w:val="24"/>
        </w:rPr>
        <w:t>Conclusion:  The Commission Should Continue to Bar Penalties on Employees for Not Participating in Wellness Program Medical Exams and Inquiries</w:t>
      </w:r>
    </w:p>
    <w:p w:rsidR="009B645E" w:rsidRDefault="009B645E" w:rsidP="00951C8B">
      <w:pPr>
        <w:rPr>
          <w:rFonts w:ascii="Times New Roman" w:hAnsi="Times New Roman"/>
          <w:sz w:val="24"/>
          <w:szCs w:val="24"/>
        </w:rPr>
      </w:pPr>
      <w:r w:rsidRPr="00951C8B">
        <w:rPr>
          <w:rFonts w:ascii="Times New Roman" w:hAnsi="Times New Roman"/>
          <w:sz w:val="24"/>
          <w:szCs w:val="24"/>
        </w:rPr>
        <w:t>For the reasons described above, the Commission should continue to interpret the ADA’s requirement that wellness program medical exams and inquiries that are not job-related be “voluntary” to bar penalties for failure to participate in such exams and inquiries. The Commission should specify that this requirement is to be implemented in the same way as the parallel requirement in GINA: if financial inducements are offered to employees for completing a health risk assessment, the inducements must be offered regardless of whether the employee chooses to answer questions about medical information.</w:t>
      </w:r>
      <w:r w:rsidRPr="00951C8B">
        <w:rPr>
          <w:rStyle w:val="FootnoteReference"/>
          <w:rFonts w:ascii="Times New Roman" w:hAnsi="Times New Roman"/>
          <w:sz w:val="24"/>
          <w:szCs w:val="24"/>
        </w:rPr>
        <w:footnoteReference w:id="24"/>
      </w:r>
    </w:p>
    <w:p w:rsidR="00A14EBD" w:rsidRDefault="00A14EBD" w:rsidP="00951C8B">
      <w:pPr>
        <w:rPr>
          <w:rFonts w:ascii="Times New Roman" w:hAnsi="Times New Roman"/>
          <w:sz w:val="24"/>
          <w:szCs w:val="24"/>
        </w:rPr>
      </w:pPr>
    </w:p>
    <w:p w:rsidR="00A14EBD" w:rsidRPr="00951C8B" w:rsidRDefault="00A14EBD" w:rsidP="00951C8B">
      <w:pPr>
        <w:rPr>
          <w:rFonts w:ascii="Times New Roman" w:hAnsi="Times New Roman"/>
          <w:sz w:val="24"/>
          <w:szCs w:val="24"/>
        </w:rPr>
      </w:pPr>
    </w:p>
    <w:p w:rsidR="009B645E" w:rsidRPr="00951C8B" w:rsidRDefault="009B645E" w:rsidP="00951C8B">
      <w:pPr>
        <w:pStyle w:val="ListParagraph"/>
        <w:numPr>
          <w:ilvl w:val="0"/>
          <w:numId w:val="8"/>
        </w:numPr>
        <w:rPr>
          <w:rFonts w:ascii="Times New Roman" w:hAnsi="Times New Roman"/>
          <w:b/>
          <w:sz w:val="24"/>
          <w:szCs w:val="24"/>
          <w:u w:val="single"/>
        </w:rPr>
      </w:pPr>
      <w:r w:rsidRPr="00951C8B">
        <w:rPr>
          <w:rFonts w:ascii="Times New Roman" w:hAnsi="Times New Roman"/>
          <w:b/>
          <w:sz w:val="24"/>
          <w:szCs w:val="24"/>
          <w:u w:val="single"/>
        </w:rPr>
        <w:lastRenderedPageBreak/>
        <w:t xml:space="preserve">The Commission’s Proposed Protections are Inadequate to Prevent the Rule from Causing Harm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In order to mitigate the harms that may be caused by its proposed rule, the Commission proposes requiring written notice of information being sought by health risk assessments and a confidentiality rule limiting the transmission to employers of individually identifiable information gleaned through wellness program medical inquiries.  In the event that the Commission adopts its proposed interpretation of the ADA’s medical inquiries provisions, we urge the Commission to strengthen these protections, as they are inadequate to prevent employees from being harmed.</w:t>
      </w:r>
    </w:p>
    <w:p w:rsidR="009B645E" w:rsidRPr="00951C8B" w:rsidRDefault="009B645E" w:rsidP="00951C8B">
      <w:pPr>
        <w:pStyle w:val="ListParagraph"/>
        <w:numPr>
          <w:ilvl w:val="0"/>
          <w:numId w:val="11"/>
        </w:numPr>
        <w:rPr>
          <w:rFonts w:ascii="Times New Roman" w:hAnsi="Times New Roman"/>
          <w:i/>
          <w:sz w:val="24"/>
          <w:szCs w:val="24"/>
        </w:rPr>
      </w:pPr>
      <w:r w:rsidRPr="00951C8B">
        <w:rPr>
          <w:rFonts w:ascii="Times New Roman" w:hAnsi="Times New Roman"/>
          <w:i/>
          <w:sz w:val="24"/>
          <w:szCs w:val="24"/>
        </w:rPr>
        <w:t>The Proposed Notice Requirement is Insufficient</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The proposed rule requires that a wellness program that is part of a group health plan and asks medical questions must provide written notice describing the type of medical information that will be sought and the specific purposes for which it will be used, the restrictions on disclosure of the medical information, the employer representatives or third parties with whom it will be shared, and the methods used to prevent improper disclosure.</w:t>
      </w:r>
    </w:p>
    <w:p w:rsidR="009B645E" w:rsidRDefault="009B645E" w:rsidP="00951C8B">
      <w:pPr>
        <w:rPr>
          <w:rFonts w:ascii="Times New Roman" w:hAnsi="Times New Roman"/>
          <w:sz w:val="24"/>
          <w:szCs w:val="24"/>
        </w:rPr>
      </w:pPr>
      <w:r w:rsidRPr="00951C8B">
        <w:rPr>
          <w:rFonts w:ascii="Times New Roman" w:hAnsi="Times New Roman"/>
          <w:sz w:val="24"/>
          <w:szCs w:val="24"/>
        </w:rPr>
        <w:t xml:space="preserve">While such notice is certainly helpful and we urge the Commission to require it if adopts its proposed “30% rule,” it does not eliminate the primary problem created by the proposed rule.  Providing employees with notice of exactly what the Hobson’s choice is that they will face does not eliminate the fact that they are given a Hobson’s choice (turn over sensitive medical information or pay steep financial penalties). </w:t>
      </w:r>
    </w:p>
    <w:p w:rsidR="00FE571D" w:rsidRDefault="002D1EA2" w:rsidP="0018257B">
      <w:pPr>
        <w:rPr>
          <w:rFonts w:ascii="Times New Roman" w:hAnsi="Times New Roman"/>
          <w:sz w:val="24"/>
          <w:szCs w:val="24"/>
        </w:rPr>
      </w:pPr>
      <w:r>
        <w:rPr>
          <w:rFonts w:ascii="Times New Roman" w:hAnsi="Times New Roman"/>
          <w:sz w:val="24"/>
          <w:szCs w:val="24"/>
        </w:rPr>
        <w:t xml:space="preserve">The EEOC seeks comment on </w:t>
      </w:r>
      <w:r w:rsidR="005B7494">
        <w:rPr>
          <w:rFonts w:ascii="Times New Roman" w:hAnsi="Times New Roman"/>
          <w:sz w:val="24"/>
          <w:szCs w:val="24"/>
        </w:rPr>
        <w:t xml:space="preserve">whether notice requirements should also require plans to seek prior, written, and knowing confirmation from </w:t>
      </w:r>
      <w:r>
        <w:rPr>
          <w:rFonts w:ascii="Times New Roman" w:hAnsi="Times New Roman"/>
          <w:sz w:val="24"/>
          <w:szCs w:val="24"/>
        </w:rPr>
        <w:t>employee</w:t>
      </w:r>
      <w:r w:rsidR="005B7494">
        <w:rPr>
          <w:rFonts w:ascii="Times New Roman" w:hAnsi="Times New Roman"/>
          <w:sz w:val="24"/>
          <w:szCs w:val="24"/>
        </w:rPr>
        <w:t xml:space="preserve">s that their participation is voluntary.  </w:t>
      </w:r>
      <w:r w:rsidR="00056EC6">
        <w:rPr>
          <w:rFonts w:ascii="Times New Roman" w:hAnsi="Times New Roman"/>
          <w:sz w:val="24"/>
          <w:szCs w:val="24"/>
        </w:rPr>
        <w:t xml:space="preserve">Such a requirement would only be meaningful if </w:t>
      </w:r>
      <w:r w:rsidR="00BC756B">
        <w:rPr>
          <w:rFonts w:ascii="Times New Roman" w:hAnsi="Times New Roman"/>
          <w:sz w:val="24"/>
          <w:szCs w:val="24"/>
        </w:rPr>
        <w:t>an employee’s indication</w:t>
      </w:r>
      <w:r w:rsidR="00056EC6">
        <w:rPr>
          <w:rFonts w:ascii="Times New Roman" w:hAnsi="Times New Roman"/>
          <w:sz w:val="24"/>
          <w:szCs w:val="24"/>
        </w:rPr>
        <w:t xml:space="preserve"> that </w:t>
      </w:r>
      <w:r w:rsidR="00BC756B">
        <w:rPr>
          <w:rFonts w:ascii="Times New Roman" w:hAnsi="Times New Roman"/>
          <w:sz w:val="24"/>
          <w:szCs w:val="24"/>
        </w:rPr>
        <w:t xml:space="preserve">his or her </w:t>
      </w:r>
      <w:r w:rsidR="00056EC6">
        <w:rPr>
          <w:rFonts w:ascii="Times New Roman" w:hAnsi="Times New Roman"/>
          <w:sz w:val="24"/>
          <w:szCs w:val="24"/>
        </w:rPr>
        <w:t xml:space="preserve">participation is not voluntary would enable </w:t>
      </w:r>
      <w:r w:rsidR="00BC756B">
        <w:rPr>
          <w:rFonts w:ascii="Times New Roman" w:hAnsi="Times New Roman"/>
          <w:sz w:val="24"/>
          <w:szCs w:val="24"/>
        </w:rPr>
        <w:t>the employee</w:t>
      </w:r>
      <w:r w:rsidR="00056EC6">
        <w:rPr>
          <w:rFonts w:ascii="Times New Roman" w:hAnsi="Times New Roman"/>
          <w:sz w:val="24"/>
          <w:szCs w:val="24"/>
        </w:rPr>
        <w:t xml:space="preserve"> to receive the reward, or avoid the penalty, without filling out the health risk assessment (or </w:t>
      </w:r>
      <w:r w:rsidR="00252B5A">
        <w:rPr>
          <w:rFonts w:ascii="Times New Roman" w:hAnsi="Times New Roman"/>
          <w:sz w:val="24"/>
          <w:szCs w:val="24"/>
        </w:rPr>
        <w:t xml:space="preserve">without filling out </w:t>
      </w:r>
      <w:r w:rsidR="00056EC6">
        <w:rPr>
          <w:rFonts w:ascii="Times New Roman" w:hAnsi="Times New Roman"/>
          <w:sz w:val="24"/>
          <w:szCs w:val="24"/>
        </w:rPr>
        <w:t>the medical questions on the assessment).  Otherwise, the written confirmation would</w:t>
      </w:r>
      <w:r w:rsidR="00BC756B">
        <w:rPr>
          <w:rFonts w:ascii="Times New Roman" w:hAnsi="Times New Roman"/>
          <w:sz w:val="24"/>
          <w:szCs w:val="24"/>
        </w:rPr>
        <w:t xml:space="preserve"> not serve any purpose; i</w:t>
      </w:r>
      <w:r w:rsidR="00056EC6">
        <w:rPr>
          <w:rFonts w:ascii="Times New Roman" w:hAnsi="Times New Roman"/>
          <w:sz w:val="24"/>
          <w:szCs w:val="24"/>
        </w:rPr>
        <w:t>f an employee feels pressured into filling out a health risk assessment, the employee will feel the same pressure to indicate that his or her participation is voluntary</w:t>
      </w:r>
      <w:r w:rsidR="00BC756B">
        <w:rPr>
          <w:rFonts w:ascii="Times New Roman" w:hAnsi="Times New Roman"/>
          <w:sz w:val="24"/>
          <w:szCs w:val="24"/>
        </w:rPr>
        <w:t xml:space="preserve"> if</w:t>
      </w:r>
      <w:r w:rsidR="00056EC6">
        <w:rPr>
          <w:rFonts w:ascii="Times New Roman" w:hAnsi="Times New Roman"/>
          <w:sz w:val="24"/>
          <w:szCs w:val="24"/>
        </w:rPr>
        <w:t xml:space="preserve"> to do otherwise would mean </w:t>
      </w:r>
      <w:r w:rsidR="00BC756B">
        <w:rPr>
          <w:rFonts w:ascii="Times New Roman" w:hAnsi="Times New Roman"/>
          <w:sz w:val="24"/>
          <w:szCs w:val="24"/>
        </w:rPr>
        <w:t>losing the reward or incurring the penalty</w:t>
      </w:r>
      <w:r w:rsidR="00056EC6">
        <w:rPr>
          <w:rFonts w:ascii="Times New Roman" w:hAnsi="Times New Roman"/>
          <w:sz w:val="24"/>
          <w:szCs w:val="24"/>
        </w:rPr>
        <w:t xml:space="preserve">.  </w:t>
      </w:r>
      <w:r w:rsidR="00252B5A">
        <w:rPr>
          <w:rFonts w:ascii="Times New Roman" w:hAnsi="Times New Roman"/>
          <w:sz w:val="24"/>
          <w:szCs w:val="24"/>
        </w:rPr>
        <w:t>We strongly urge the Commission to adopt the f</w:t>
      </w:r>
      <w:r w:rsidR="0018257B">
        <w:rPr>
          <w:rFonts w:ascii="Times New Roman" w:hAnsi="Times New Roman"/>
          <w:sz w:val="24"/>
          <w:szCs w:val="24"/>
        </w:rPr>
        <w:t>irst formulation.</w:t>
      </w:r>
    </w:p>
    <w:p w:rsidR="009B645E" w:rsidRPr="0018257B" w:rsidRDefault="009B645E" w:rsidP="0018257B">
      <w:pPr>
        <w:pStyle w:val="ListParagraph"/>
        <w:numPr>
          <w:ilvl w:val="0"/>
          <w:numId w:val="11"/>
        </w:numPr>
        <w:rPr>
          <w:rFonts w:ascii="Times New Roman" w:hAnsi="Times New Roman"/>
          <w:i/>
          <w:sz w:val="24"/>
          <w:szCs w:val="24"/>
        </w:rPr>
      </w:pPr>
      <w:r w:rsidRPr="0018257B">
        <w:rPr>
          <w:rFonts w:ascii="Times New Roman" w:hAnsi="Times New Roman"/>
          <w:i/>
          <w:sz w:val="24"/>
          <w:szCs w:val="24"/>
        </w:rPr>
        <w:t>The Proposed Confidentiality Requirements are Insufficient</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confidentiality protections included in the proposed rule are inadequate to remedy the problems created by the Commission’s misinterpretation of the ADA.  The proposed rule references already-existing HIPAA confidentiality obligations that apply to group health plans operating wellness programs.  In addition, the proposed rule would bar the provision to an employer of individually identifiable information collected by wellness program medical exams </w:t>
      </w:r>
      <w:r w:rsidRPr="00951C8B">
        <w:rPr>
          <w:rFonts w:ascii="Times New Roman" w:hAnsi="Times New Roman"/>
          <w:sz w:val="24"/>
          <w:szCs w:val="24"/>
        </w:rPr>
        <w:lastRenderedPageBreak/>
        <w:t xml:space="preserve">and inquiries “except as necessary to administer the plan.”  If the Commission adopts its proposal to allow penalties up to 30% of employee premiums, at a minimum, it should expand these confidentiality protections to minimize the harm created by such penalties.  </w:t>
      </w:r>
    </w:p>
    <w:p w:rsidR="00942690" w:rsidRPr="00942690" w:rsidRDefault="009B645E" w:rsidP="00252B5A">
      <w:pPr>
        <w:rPr>
          <w:rFonts w:ascii="Times New Roman" w:hAnsi="Times New Roman"/>
          <w:sz w:val="24"/>
          <w:szCs w:val="24"/>
        </w:rPr>
      </w:pPr>
      <w:r w:rsidRPr="00951C8B">
        <w:rPr>
          <w:rFonts w:ascii="Times New Roman" w:hAnsi="Times New Roman"/>
          <w:sz w:val="24"/>
          <w:szCs w:val="24"/>
        </w:rPr>
        <w:t>First, the Health Insurance Portability and Accountability Act (HIPAA) protections referenced by the Commission do not apply employers, but only to the health plans operating the wellness programs.  If these plans violate HIPAA by disclosing information to employers, workers have no recourse against their employers.  Moreover, HIPAA’s privacy protections are not privately enforceable.  Individuals whose health information is impermissibly disclosed can file an administrative complaint with the Office for Civil Rights (OCR) in the Department of Health and Human Services (HHS).  But OCR/HHS enforces compliance in only a tiny number of complaints and often takes more than a year to resolve complaints</w:t>
      </w:r>
      <w:r w:rsidRPr="00626D41">
        <w:rPr>
          <w:rFonts w:ascii="Times New Roman" w:hAnsi="Times New Roman"/>
          <w:sz w:val="24"/>
          <w:szCs w:val="24"/>
        </w:rPr>
        <w:t xml:space="preserve">.  </w:t>
      </w:r>
      <w:r w:rsidR="00626D41" w:rsidRPr="00626D41">
        <w:rPr>
          <w:rFonts w:ascii="Times New Roman" w:hAnsi="Times New Roman"/>
          <w:sz w:val="24"/>
          <w:szCs w:val="24"/>
        </w:rPr>
        <w:t xml:space="preserve">Among the more than 115,000 HIPAA complaints OCR had received as of two months ago, it </w:t>
      </w:r>
      <w:r w:rsidRPr="00626D41">
        <w:rPr>
          <w:rFonts w:ascii="Times New Roman" w:hAnsi="Times New Roman"/>
          <w:sz w:val="24"/>
          <w:szCs w:val="24"/>
        </w:rPr>
        <w:t>had initiated only 1,214 compliance reviews.  Department of Health and Human Services, “Enforcem</w:t>
      </w:r>
      <w:r w:rsidRPr="00951C8B">
        <w:rPr>
          <w:rFonts w:ascii="Times New Roman" w:hAnsi="Times New Roman"/>
          <w:sz w:val="24"/>
          <w:szCs w:val="24"/>
        </w:rPr>
        <w:t xml:space="preserve">ent Highlights (As of April 30, 2015),” (available at </w:t>
      </w:r>
      <w:hyperlink r:id="rId10" w:history="1">
        <w:r w:rsidRPr="00951C8B">
          <w:rPr>
            <w:rStyle w:val="Hyperlink"/>
            <w:rFonts w:ascii="Times New Roman" w:hAnsi="Times New Roman"/>
            <w:sz w:val="24"/>
            <w:szCs w:val="24"/>
          </w:rPr>
          <w:t>www.hhs.gov/ocr/privacy/hipaa/enforcement/highlights/index.html</w:t>
        </w:r>
      </w:hyperlink>
      <w:r w:rsidRPr="00951C8B">
        <w:rPr>
          <w:rFonts w:ascii="Times New Roman" w:hAnsi="Times New Roman"/>
          <w:sz w:val="24"/>
          <w:szCs w:val="24"/>
        </w:rPr>
        <w:t xml:space="preserve">).   And “[f]rom the 2003 compliance date of the HIPAA Privacy Rule through the end of calendar year 2012, out of all the cases OCR attempted to resolve informally a resolution agreement, only one case resulted in the imposition of a CMP [civil monetary penalty].”  Department of Health and Human Services, “Annual Report to Congress on HIPAA Privacy, Security, and Breach Notification Rule Compliance,” at 6 (Calendar Years 2011 and 2012) (available at </w:t>
      </w:r>
      <w:hyperlink r:id="rId11" w:history="1">
        <w:r w:rsidRPr="00951C8B">
          <w:rPr>
            <w:rStyle w:val="Hyperlink"/>
            <w:rFonts w:ascii="Times New Roman" w:hAnsi="Times New Roman"/>
            <w:sz w:val="24"/>
            <w:szCs w:val="24"/>
          </w:rPr>
          <w:t>www.hhs.gov/ocr/privacy/hipaa/enforcement/compliancereport2011-2012.pdf</w:t>
        </w:r>
      </w:hyperlink>
      <w:r w:rsidRPr="00951C8B">
        <w:rPr>
          <w:rFonts w:ascii="Times New Roman" w:hAnsi="Times New Roman"/>
          <w:sz w:val="24"/>
          <w:szCs w:val="24"/>
        </w:rPr>
        <w:t xml:space="preserve">).   Finally, </w:t>
      </w:r>
      <w:r w:rsidR="00252B5A">
        <w:rPr>
          <w:rFonts w:ascii="Times New Roman" w:hAnsi="Times New Roman"/>
          <w:sz w:val="24"/>
          <w:szCs w:val="24"/>
        </w:rPr>
        <w:t>some</w:t>
      </w:r>
      <w:r w:rsidR="00252B5A" w:rsidRPr="00951C8B">
        <w:rPr>
          <w:rFonts w:ascii="Times New Roman" w:hAnsi="Times New Roman"/>
          <w:sz w:val="24"/>
          <w:szCs w:val="24"/>
        </w:rPr>
        <w:t xml:space="preserve"> </w:t>
      </w:r>
      <w:r w:rsidRPr="00951C8B">
        <w:rPr>
          <w:rFonts w:ascii="Times New Roman" w:hAnsi="Times New Roman"/>
          <w:sz w:val="24"/>
          <w:szCs w:val="24"/>
        </w:rPr>
        <w:t xml:space="preserve">health risk assessment </w:t>
      </w:r>
      <w:r w:rsidR="00942690">
        <w:rPr>
          <w:rFonts w:ascii="Times New Roman" w:hAnsi="Times New Roman"/>
          <w:sz w:val="24"/>
          <w:szCs w:val="24"/>
        </w:rPr>
        <w:t>web site</w:t>
      </w:r>
      <w:r w:rsidR="00942690" w:rsidRPr="00951C8B">
        <w:rPr>
          <w:rFonts w:ascii="Times New Roman" w:hAnsi="Times New Roman"/>
          <w:sz w:val="24"/>
          <w:szCs w:val="24"/>
        </w:rPr>
        <w:t xml:space="preserve">s </w:t>
      </w:r>
      <w:r w:rsidRPr="00951C8B">
        <w:rPr>
          <w:rFonts w:ascii="Times New Roman" w:hAnsi="Times New Roman"/>
          <w:sz w:val="24"/>
          <w:szCs w:val="24"/>
        </w:rPr>
        <w:t>include a provision</w:t>
      </w:r>
      <w:r w:rsidR="00942690">
        <w:rPr>
          <w:rFonts w:ascii="Times New Roman" w:hAnsi="Times New Roman"/>
          <w:sz w:val="24"/>
          <w:szCs w:val="24"/>
        </w:rPr>
        <w:t>, buried in an obscure link,</w:t>
      </w:r>
      <w:r w:rsidRPr="00951C8B">
        <w:rPr>
          <w:rFonts w:ascii="Times New Roman" w:hAnsi="Times New Roman"/>
          <w:sz w:val="24"/>
          <w:szCs w:val="24"/>
        </w:rPr>
        <w:t xml:space="preserve"> stating that </w:t>
      </w:r>
      <w:r w:rsidR="00942690">
        <w:rPr>
          <w:rFonts w:ascii="Times New Roman" w:hAnsi="Times New Roman"/>
          <w:sz w:val="24"/>
          <w:szCs w:val="24"/>
        </w:rPr>
        <w:t>using the wellness program web site</w:t>
      </w:r>
      <w:r w:rsidRPr="00951C8B">
        <w:rPr>
          <w:rFonts w:ascii="Times New Roman" w:hAnsi="Times New Roman"/>
          <w:sz w:val="24"/>
          <w:szCs w:val="24"/>
        </w:rPr>
        <w:t xml:space="preserve"> constitutes a waiver of the person’s privacy rights; if such waivers are effective, HIPAA offers no protection.</w:t>
      </w:r>
      <w:r w:rsidR="00942690">
        <w:rPr>
          <w:rFonts w:ascii="Times New Roman" w:hAnsi="Times New Roman"/>
          <w:sz w:val="24"/>
          <w:szCs w:val="24"/>
        </w:rPr>
        <w:t xml:space="preserve">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proposed rule purports to protect employee medical information from employers by adding a requirement that information obtained by an employee health program, through its medical inquiries or exams, “regarding the medical information or history of any individual may only be provided to an ADA covered entity in aggregate terms that do not disclose, or are not reasonably likely to disclose, the identity of any employee.”  </w:t>
      </w:r>
      <w:r w:rsidRPr="00951C8B">
        <w:rPr>
          <w:rFonts w:ascii="Times New Roman" w:hAnsi="Times New Roman"/>
          <w:i/>
          <w:sz w:val="24"/>
          <w:szCs w:val="24"/>
        </w:rPr>
        <w:t xml:space="preserve">See </w:t>
      </w:r>
      <w:r w:rsidRPr="00951C8B">
        <w:rPr>
          <w:rFonts w:ascii="Times New Roman" w:hAnsi="Times New Roman"/>
          <w:sz w:val="24"/>
          <w:szCs w:val="24"/>
        </w:rPr>
        <w:t>§1630.14(d</w:t>
      </w:r>
      <w:proofErr w:type="gramStart"/>
      <w:r w:rsidRPr="00951C8B">
        <w:rPr>
          <w:rFonts w:ascii="Times New Roman" w:hAnsi="Times New Roman"/>
          <w:sz w:val="24"/>
          <w:szCs w:val="24"/>
        </w:rPr>
        <w:t>)(</w:t>
      </w:r>
      <w:proofErr w:type="gramEnd"/>
      <w:r w:rsidRPr="00951C8B">
        <w:rPr>
          <w:rFonts w:ascii="Times New Roman" w:hAnsi="Times New Roman"/>
          <w:sz w:val="24"/>
          <w:szCs w:val="24"/>
        </w:rPr>
        <w:t>6).  First, it is unclear that this requirement actually applies to any covered entities; if it does not, it is meaningless.  The obligation that it imposes appears to be directed at wellness plans that are not covered entities under the ADA and thus need not comply with ADA regulations.</w:t>
      </w:r>
      <w:r w:rsidRPr="00951C8B">
        <w:rPr>
          <w:rStyle w:val="FootnoteReference"/>
          <w:rFonts w:ascii="Times New Roman" w:hAnsi="Times New Roman"/>
          <w:sz w:val="24"/>
          <w:szCs w:val="24"/>
        </w:rPr>
        <w:footnoteReference w:id="25"/>
      </w:r>
      <w:r w:rsidRPr="00951C8B">
        <w:rPr>
          <w:rFonts w:ascii="Times New Roman" w:hAnsi="Times New Roman"/>
          <w:sz w:val="24"/>
          <w:szCs w:val="24"/>
        </w:rPr>
        <w:t xml:space="preserve">  The obligation should be on the </w:t>
      </w:r>
      <w:r w:rsidRPr="00951C8B">
        <w:rPr>
          <w:rFonts w:ascii="Times New Roman" w:hAnsi="Times New Roman"/>
          <w:i/>
          <w:sz w:val="24"/>
          <w:szCs w:val="24"/>
        </w:rPr>
        <w:t xml:space="preserve">employer </w:t>
      </w:r>
      <w:r w:rsidRPr="00951C8B">
        <w:rPr>
          <w:rFonts w:ascii="Times New Roman" w:hAnsi="Times New Roman"/>
          <w:sz w:val="24"/>
          <w:szCs w:val="24"/>
        </w:rPr>
        <w:t xml:space="preserve">not to </w:t>
      </w:r>
      <w:r w:rsidRPr="00951C8B">
        <w:rPr>
          <w:rFonts w:ascii="Times New Roman" w:hAnsi="Times New Roman"/>
          <w:i/>
          <w:sz w:val="24"/>
          <w:szCs w:val="24"/>
        </w:rPr>
        <w:t xml:space="preserve">collect or receive </w:t>
      </w:r>
      <w:r w:rsidRPr="00951C8B">
        <w:rPr>
          <w:rFonts w:ascii="Times New Roman" w:hAnsi="Times New Roman"/>
          <w:sz w:val="24"/>
          <w:szCs w:val="24"/>
        </w:rPr>
        <w:t xml:space="preserve">this information.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lastRenderedPageBreak/>
        <w:t xml:space="preserve">Second, wellness programs create opportunities for employers to discover an employee’s identity and disability through other means than the program disclosing this information directly to an employer.  For example, employers may be able to individually identify an employee with a disability when the wellness program directs an employee to attend a worksite-based “employee assistance program” (EAP), or when the wellness program discloses employees’ medical information to third parties who, based on that information, may market specific products and services to the employee through his or her work email, intranet, postal mail or telephones.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In addition,</w:t>
      </w:r>
      <w:r w:rsidR="00284702">
        <w:rPr>
          <w:rFonts w:ascii="Times New Roman" w:hAnsi="Times New Roman"/>
          <w:sz w:val="24"/>
          <w:szCs w:val="24"/>
        </w:rPr>
        <w:t xml:space="preserve"> for</w:t>
      </w:r>
      <w:r w:rsidRPr="00951C8B">
        <w:rPr>
          <w:rFonts w:ascii="Times New Roman" w:hAnsi="Times New Roman"/>
          <w:sz w:val="24"/>
          <w:szCs w:val="24"/>
        </w:rPr>
        <w:t xml:space="preserve"> employees of small employers or at small worksites, aggregate data collection will not ensure that a disability is not disclosed to employers – an employee who is the only member of a 15-employee firm who has diabetes, and who is known at work for carefully tracking what and when he eats, may be effectively disclosing his disability to any supervisor who looks at “aggregated” wellness program data.    </w:t>
      </w:r>
    </w:p>
    <w:p w:rsidR="00A14EBD" w:rsidRPr="00951C8B" w:rsidRDefault="009B645E" w:rsidP="00951C8B">
      <w:pPr>
        <w:rPr>
          <w:rFonts w:ascii="Times New Roman" w:hAnsi="Times New Roman"/>
          <w:sz w:val="24"/>
          <w:szCs w:val="24"/>
        </w:rPr>
      </w:pPr>
      <w:r w:rsidRPr="00951C8B">
        <w:rPr>
          <w:rFonts w:ascii="Times New Roman" w:hAnsi="Times New Roman"/>
          <w:sz w:val="24"/>
          <w:szCs w:val="24"/>
        </w:rPr>
        <w:t xml:space="preserve">To ensure that confidentiality of employees’ medical information is better protected, the EEOC should require that employee medical information from health risk assessments is not gathered on or stored on workplace computers or servers, or in paper files kept in the workplace.  The EEOC should require that wellness marketing and other communications are not transmitted through work email, intranet, postal mail or telephones.  And the EEOC should require the steps described in its Interpretive Guidance, </w:t>
      </w:r>
      <w:r w:rsidRPr="00951C8B">
        <w:rPr>
          <w:rFonts w:ascii="Times New Roman" w:hAnsi="Times New Roman"/>
          <w:i/>
          <w:sz w:val="24"/>
          <w:szCs w:val="24"/>
        </w:rPr>
        <w:t xml:space="preserve">see </w:t>
      </w:r>
      <w:r w:rsidRPr="00951C8B">
        <w:rPr>
          <w:rFonts w:ascii="Times New Roman" w:hAnsi="Times New Roman"/>
          <w:sz w:val="24"/>
          <w:szCs w:val="24"/>
        </w:rPr>
        <w:t xml:space="preserve">Appendix to Part 1630 regarding Section 1630.14(d)(4)-(6), including that employers adopt clear privacy policies </w:t>
      </w:r>
      <w:r w:rsidR="00F96952">
        <w:rPr>
          <w:rFonts w:ascii="Times New Roman" w:hAnsi="Times New Roman"/>
          <w:sz w:val="24"/>
          <w:szCs w:val="24"/>
        </w:rPr>
        <w:t xml:space="preserve">(including prohibiting wellness programs from seeking waivers of privacy rights with respect to medical information furnished by employees where employees are penalized for not providing this information) </w:t>
      </w:r>
      <w:r w:rsidRPr="00951C8B">
        <w:rPr>
          <w:rFonts w:ascii="Times New Roman" w:hAnsi="Times New Roman"/>
          <w:sz w:val="24"/>
          <w:szCs w:val="24"/>
        </w:rPr>
        <w:t>and train employees to protect private information; not allow employees who have access to coworkers’ medical information to make employment decisions impacting those coworkers; and encrypt electronically-stored medical information. We strongly object to the Commission’s description of these steps as “best practices” rather than requirements.  The term “best practices” serves as nothing more than an indication that these steps need not be undertaken.</w:t>
      </w:r>
    </w:p>
    <w:p w:rsidR="009B645E" w:rsidRPr="00951C8B" w:rsidRDefault="009B645E" w:rsidP="00951C8B">
      <w:pPr>
        <w:pStyle w:val="ListParagraph"/>
        <w:numPr>
          <w:ilvl w:val="0"/>
          <w:numId w:val="8"/>
        </w:numPr>
        <w:tabs>
          <w:tab w:val="left" w:pos="7176"/>
        </w:tabs>
        <w:rPr>
          <w:rFonts w:ascii="Times New Roman" w:hAnsi="Times New Roman"/>
          <w:b/>
          <w:sz w:val="24"/>
          <w:szCs w:val="24"/>
          <w:u w:val="single"/>
        </w:rPr>
      </w:pPr>
      <w:r w:rsidRPr="00951C8B">
        <w:rPr>
          <w:rFonts w:ascii="Times New Roman" w:hAnsi="Times New Roman"/>
          <w:b/>
          <w:sz w:val="24"/>
          <w:szCs w:val="24"/>
          <w:u w:val="single"/>
        </w:rPr>
        <w:t>Additional Issues on Which EEOC Seeks Feedback</w:t>
      </w:r>
    </w:p>
    <w:p w:rsidR="009B645E" w:rsidRPr="00951C8B" w:rsidRDefault="009B645E" w:rsidP="00951C8B">
      <w:pPr>
        <w:pStyle w:val="ListParagraph"/>
        <w:tabs>
          <w:tab w:val="left" w:pos="7176"/>
        </w:tabs>
        <w:ind w:left="1440"/>
        <w:rPr>
          <w:rFonts w:ascii="Times New Roman" w:hAnsi="Times New Roman"/>
          <w:b/>
          <w:sz w:val="24"/>
          <w:szCs w:val="24"/>
          <w:u w:val="single"/>
        </w:rPr>
      </w:pPr>
    </w:p>
    <w:p w:rsidR="009B645E" w:rsidRPr="00951C8B" w:rsidRDefault="009B645E" w:rsidP="00951C8B">
      <w:pPr>
        <w:pStyle w:val="ListParagraph"/>
        <w:numPr>
          <w:ilvl w:val="0"/>
          <w:numId w:val="12"/>
        </w:numPr>
        <w:rPr>
          <w:rFonts w:ascii="Times New Roman" w:hAnsi="Times New Roman"/>
          <w:i/>
          <w:sz w:val="24"/>
          <w:szCs w:val="24"/>
        </w:rPr>
      </w:pPr>
      <w:r w:rsidRPr="00951C8B">
        <w:rPr>
          <w:rFonts w:ascii="Times New Roman" w:hAnsi="Times New Roman"/>
          <w:i/>
          <w:sz w:val="24"/>
          <w:szCs w:val="24"/>
        </w:rPr>
        <w:t>The Doctor Certification about which the Commission Solicits Feedback Should be Included and Strengthened in the Final Rule</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proposed rule solicits feedback on whether, for medical questions tied to financial incentives to be “voluntary,” employees must be offered similar incentives if they choose not to answer but instead provide certification from a medical professional stating that the employee is under the care of a physician and that any medical risks identified by that physician are under active treatment.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lastRenderedPageBreak/>
        <w:t xml:space="preserve">Permitting employees to avoid penalties by showing that they are already receiving care for any condition asked about by a health risk assessment would be an important reasonable accommodation, and the Commission should include this protection in the final rule.  However, this avenue may not offer equal opportunity to employees with disabilities.  First, certifications from specialty doctors, such as a psychiatrist, a heart doctor, or a liver specialist, would reveal information about the nature of an employee’s medical conditions and undermine the very purpose of avoiding answering the questions.  It would be unwieldy and impose onerous burdens if the form required confirmation from all of the doctors treating an individual for various conditions or symptoms inquired about by the assessment.  Moreover, many treating professionals would charge an employee for an evaluation in order to submit a certification.  Particularly with multiple treating professionals involved, such charges may be prohibitively expensive for many employees.  Additionally, many professionals will simply fail or refuse to submit certifications at all.  </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 xml:space="preserve">The Commission should clarify that the certification need only be submitted by a single health professional who </w:t>
      </w:r>
      <w:r w:rsidR="00072B5F">
        <w:rPr>
          <w:rFonts w:ascii="Times New Roman" w:hAnsi="Times New Roman"/>
          <w:sz w:val="24"/>
          <w:szCs w:val="24"/>
        </w:rPr>
        <w:t>may be a treating specialist or a primary care physician (or other professional such as a nurse practitioner</w:t>
      </w:r>
      <w:r w:rsidR="0018257B">
        <w:rPr>
          <w:rFonts w:ascii="Times New Roman" w:hAnsi="Times New Roman"/>
          <w:sz w:val="24"/>
          <w:szCs w:val="24"/>
        </w:rPr>
        <w:t xml:space="preserve"> or social worker</w:t>
      </w:r>
      <w:r w:rsidR="00072B5F">
        <w:rPr>
          <w:rFonts w:ascii="Times New Roman" w:hAnsi="Times New Roman"/>
          <w:sz w:val="24"/>
          <w:szCs w:val="24"/>
        </w:rPr>
        <w:t xml:space="preserve">) who is familiar with the worker’s health profile, and who </w:t>
      </w:r>
      <w:r w:rsidRPr="00951C8B">
        <w:rPr>
          <w:rFonts w:ascii="Times New Roman" w:hAnsi="Times New Roman"/>
          <w:sz w:val="24"/>
          <w:szCs w:val="24"/>
        </w:rPr>
        <w:t xml:space="preserve">confirms based on the representations of the individual that he or she </w:t>
      </w:r>
      <w:r w:rsidR="00E22A53">
        <w:rPr>
          <w:rFonts w:ascii="Times New Roman" w:hAnsi="Times New Roman"/>
          <w:sz w:val="24"/>
          <w:szCs w:val="24"/>
        </w:rPr>
        <w:t>does not have the health risks inquired about in the health risk assessment or that any health risks that may have been identified are being managed</w:t>
      </w:r>
      <w:r w:rsidRPr="00951C8B">
        <w:rPr>
          <w:rFonts w:ascii="Times New Roman" w:hAnsi="Times New Roman"/>
          <w:sz w:val="24"/>
          <w:szCs w:val="24"/>
        </w:rPr>
        <w:t>, and that the health professional may submit the certification without letterhead if the letterhead would reveal information about the patient’s medical issues (such as an oncology practice).</w:t>
      </w:r>
    </w:p>
    <w:p w:rsidR="009B645E" w:rsidRPr="00951C8B" w:rsidRDefault="009B645E" w:rsidP="00951C8B">
      <w:pPr>
        <w:rPr>
          <w:rFonts w:ascii="Times New Roman" w:hAnsi="Times New Roman"/>
          <w:sz w:val="24"/>
          <w:szCs w:val="24"/>
        </w:rPr>
      </w:pPr>
      <w:r w:rsidRPr="00951C8B">
        <w:rPr>
          <w:rFonts w:ascii="Times New Roman" w:hAnsi="Times New Roman"/>
          <w:sz w:val="24"/>
          <w:szCs w:val="24"/>
        </w:rPr>
        <w:t>Finally, the notion of “active treatment” reflects a misunderstanding of appropriate monitoring for many health conditions.  For many people who face medical risks due to a health condition, the appropriate course of action is not to provide “active treatment” such as medication, therapies, or other interventions but simply to monitor the person’s condition on a regular basis and to intervene only if there is a particular reason to do so.  The Commission should delete this language.</w:t>
      </w:r>
    </w:p>
    <w:p w:rsidR="009B645E" w:rsidRPr="00951C8B" w:rsidRDefault="00951C8B" w:rsidP="00951C8B">
      <w:pPr>
        <w:pStyle w:val="ListParagraph"/>
        <w:numPr>
          <w:ilvl w:val="0"/>
          <w:numId w:val="12"/>
        </w:numPr>
        <w:rPr>
          <w:rFonts w:ascii="Times New Roman" w:hAnsi="Times New Roman"/>
          <w:i/>
          <w:sz w:val="24"/>
          <w:szCs w:val="24"/>
        </w:rPr>
      </w:pPr>
      <w:r>
        <w:rPr>
          <w:rFonts w:ascii="Times New Roman" w:hAnsi="Times New Roman"/>
          <w:i/>
          <w:sz w:val="24"/>
          <w:szCs w:val="24"/>
        </w:rPr>
        <w:t xml:space="preserve">The Protection Concerning </w:t>
      </w:r>
      <w:r w:rsidR="009B645E" w:rsidRPr="00951C8B">
        <w:rPr>
          <w:rFonts w:ascii="Times New Roman" w:hAnsi="Times New Roman"/>
          <w:i/>
          <w:sz w:val="24"/>
          <w:szCs w:val="24"/>
        </w:rPr>
        <w:t>Unaffordability of Health Insurance</w:t>
      </w:r>
      <w:r>
        <w:rPr>
          <w:rFonts w:ascii="Times New Roman" w:hAnsi="Times New Roman"/>
          <w:i/>
          <w:sz w:val="24"/>
          <w:szCs w:val="24"/>
        </w:rPr>
        <w:t xml:space="preserve"> Should be Included and Strengthened</w:t>
      </w:r>
    </w:p>
    <w:p w:rsidR="00283E85" w:rsidRDefault="009B645E" w:rsidP="00951C8B">
      <w:pPr>
        <w:autoSpaceDE w:val="0"/>
        <w:autoSpaceDN w:val="0"/>
        <w:adjustRightInd w:val="0"/>
        <w:rPr>
          <w:rFonts w:ascii="Times New Roman" w:hAnsi="Times New Roman"/>
          <w:sz w:val="24"/>
          <w:szCs w:val="24"/>
        </w:rPr>
      </w:pPr>
      <w:r w:rsidRPr="00951C8B">
        <w:rPr>
          <w:rFonts w:ascii="Times New Roman" w:hAnsi="Times New Roman"/>
          <w:sz w:val="24"/>
          <w:szCs w:val="24"/>
        </w:rPr>
        <w:t xml:space="preserve">The proposed rule solicits feedback on whether, for wellness program medical questions or exams to be voluntary, incentives imposed to encourage employees to answer or to be examined must not be so large as to render health insurance unaffordable according to the ACA’s standards.  It would be ironic indeed if the answer to this question could be no—that is, that medical questions or exams in an employee </w:t>
      </w:r>
      <w:r w:rsidRPr="00951C8B">
        <w:rPr>
          <w:rFonts w:ascii="Times New Roman" w:hAnsi="Times New Roman"/>
          <w:i/>
          <w:sz w:val="24"/>
          <w:szCs w:val="24"/>
        </w:rPr>
        <w:t>health</w:t>
      </w:r>
      <w:r w:rsidRPr="00951C8B">
        <w:rPr>
          <w:rFonts w:ascii="Times New Roman" w:hAnsi="Times New Roman"/>
          <w:sz w:val="24"/>
          <w:szCs w:val="24"/>
        </w:rPr>
        <w:t xml:space="preserve"> program could be voluntary even if they are tied to penalties so large as to make health insurance coverage unaffordable to employees if they decline to answer the questions or undergo the exams.  </w:t>
      </w:r>
    </w:p>
    <w:p w:rsidR="009B645E" w:rsidRDefault="009B645E" w:rsidP="00951C8B">
      <w:pPr>
        <w:autoSpaceDE w:val="0"/>
        <w:autoSpaceDN w:val="0"/>
        <w:adjustRightInd w:val="0"/>
        <w:rPr>
          <w:rFonts w:ascii="Times New Roman" w:hAnsi="Times New Roman"/>
          <w:sz w:val="24"/>
          <w:szCs w:val="24"/>
        </w:rPr>
      </w:pPr>
      <w:r w:rsidRPr="00951C8B">
        <w:rPr>
          <w:rFonts w:ascii="Times New Roman" w:hAnsi="Times New Roman"/>
          <w:sz w:val="24"/>
          <w:szCs w:val="24"/>
        </w:rPr>
        <w:lastRenderedPageBreak/>
        <w:t xml:space="preserve">While we think the answer must be that such penalties render questions and exams involuntary, whether a person can afford health insurance is not the sine qua non of whether such questions and exams are voluntary.  When financial penalties are used to pressure individuals to answer medical questions or undergo exams, those questions or exams are not voluntary, even if the person can still afford health insurance.  If the Commission adopts its proposed “30% rule,” it should include a protection for low-income employees, but the threshold for </w:t>
      </w:r>
      <w:r w:rsidR="00935B87">
        <w:rPr>
          <w:rFonts w:ascii="Times New Roman" w:hAnsi="Times New Roman"/>
          <w:sz w:val="24"/>
          <w:szCs w:val="24"/>
        </w:rPr>
        <w:t>when penalties must be avoided should be far lower than the ACA unaffordability standard.</w:t>
      </w:r>
    </w:p>
    <w:p w:rsidR="00C41A64" w:rsidRDefault="00C41A64" w:rsidP="00BF6EAE">
      <w:pPr>
        <w:pStyle w:val="ListParagraph"/>
        <w:numPr>
          <w:ilvl w:val="0"/>
          <w:numId w:val="12"/>
        </w:numPr>
        <w:autoSpaceDE w:val="0"/>
        <w:autoSpaceDN w:val="0"/>
        <w:adjustRightInd w:val="0"/>
        <w:spacing w:after="0" w:line="240" w:lineRule="auto"/>
        <w:rPr>
          <w:rFonts w:ascii="Times New Roman" w:hAnsi="Times New Roman"/>
          <w:i/>
          <w:sz w:val="24"/>
          <w:szCs w:val="24"/>
        </w:rPr>
      </w:pPr>
      <w:r w:rsidRPr="00E22A53">
        <w:rPr>
          <w:rFonts w:ascii="Times New Roman" w:hAnsi="Times New Roman"/>
          <w:i/>
          <w:sz w:val="24"/>
          <w:szCs w:val="24"/>
        </w:rPr>
        <w:t>Other methods for implementing the intent of the ADA’s “voluntary requirement” and the ACA’s wellness program provisions</w:t>
      </w:r>
    </w:p>
    <w:p w:rsidR="00BF6EAE" w:rsidRDefault="00BF6EAE" w:rsidP="00C6789D">
      <w:pPr>
        <w:pStyle w:val="ListParagraph"/>
        <w:autoSpaceDE w:val="0"/>
        <w:autoSpaceDN w:val="0"/>
        <w:adjustRightInd w:val="0"/>
        <w:spacing w:after="0" w:line="240" w:lineRule="auto"/>
        <w:rPr>
          <w:rFonts w:ascii="Times New Roman" w:hAnsi="Times New Roman"/>
          <w:i/>
          <w:sz w:val="24"/>
          <w:szCs w:val="24"/>
        </w:rPr>
      </w:pPr>
    </w:p>
    <w:p w:rsidR="00C41A64" w:rsidRDefault="00E22A53" w:rsidP="00A14EB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Commission solicits feedback on w</w:t>
      </w:r>
      <w:r w:rsidR="00C41A64" w:rsidRPr="00E22A53">
        <w:rPr>
          <w:rFonts w:ascii="Times New Roman" w:hAnsi="Times New Roman"/>
          <w:sz w:val="24"/>
          <w:szCs w:val="24"/>
        </w:rPr>
        <w:t xml:space="preserve">hether there are any other methods by which </w:t>
      </w:r>
      <w:r>
        <w:rPr>
          <w:rFonts w:ascii="Times New Roman" w:hAnsi="Times New Roman"/>
          <w:sz w:val="24"/>
          <w:szCs w:val="24"/>
        </w:rPr>
        <w:t>it</w:t>
      </w:r>
      <w:r w:rsidR="00C41A64" w:rsidRPr="00E22A53">
        <w:rPr>
          <w:rFonts w:ascii="Times New Roman" w:hAnsi="Times New Roman"/>
          <w:sz w:val="24"/>
          <w:szCs w:val="24"/>
        </w:rPr>
        <w:t xml:space="preserve"> could implement the intent of the “voluntary” requirement and the provisions in the ACA intended to encourage workplace health promotion and disease prevention.</w:t>
      </w:r>
      <w:r w:rsidR="00BF6EAE">
        <w:rPr>
          <w:rFonts w:ascii="Times New Roman" w:hAnsi="Times New Roman"/>
          <w:sz w:val="24"/>
          <w:szCs w:val="24"/>
        </w:rPr>
        <w:t xml:space="preserve">  As noted in our comments, the EEOC could use the same approach as it did in interpreting GINA’s requirement that wellness program inquiries about genetic information be voluntary</w:t>
      </w:r>
      <w:r w:rsidR="00A14EBD">
        <w:rPr>
          <w:rFonts w:ascii="Times New Roman" w:hAnsi="Times New Roman"/>
          <w:sz w:val="24"/>
          <w:szCs w:val="24"/>
        </w:rPr>
        <w:t xml:space="preserve">:  identify those health risk assessment questions that seek medical information and inform employees that they </w:t>
      </w:r>
      <w:r w:rsidR="000618F8">
        <w:rPr>
          <w:rFonts w:ascii="Times New Roman" w:hAnsi="Times New Roman"/>
          <w:sz w:val="24"/>
          <w:szCs w:val="24"/>
        </w:rPr>
        <w:t>need not</w:t>
      </w:r>
      <w:r w:rsidR="00A14EBD">
        <w:rPr>
          <w:rFonts w:ascii="Times New Roman" w:hAnsi="Times New Roman"/>
          <w:sz w:val="24"/>
          <w:szCs w:val="24"/>
        </w:rPr>
        <w:t xml:space="preserve"> answer those questions in order to receive the reward for filling out the health risk assessment</w:t>
      </w:r>
      <w:r w:rsidR="00BF6EAE">
        <w:rPr>
          <w:rFonts w:ascii="Times New Roman" w:hAnsi="Times New Roman"/>
          <w:sz w:val="24"/>
          <w:szCs w:val="24"/>
        </w:rPr>
        <w:t xml:space="preserve">.  </w:t>
      </w:r>
    </w:p>
    <w:p w:rsidR="00A14EBD" w:rsidRDefault="00A14EBD" w:rsidP="00A14EBD">
      <w:pPr>
        <w:autoSpaceDE w:val="0"/>
        <w:autoSpaceDN w:val="0"/>
        <w:adjustRightInd w:val="0"/>
        <w:spacing w:after="0" w:line="240" w:lineRule="auto"/>
        <w:rPr>
          <w:rFonts w:ascii="Times New Roman" w:hAnsi="Times New Roman"/>
          <w:sz w:val="24"/>
          <w:szCs w:val="24"/>
        </w:rPr>
      </w:pPr>
    </w:p>
    <w:p w:rsidR="00072B5F" w:rsidRDefault="00060DAE" w:rsidP="00060DAE">
      <w:pPr>
        <w:pStyle w:val="ListParagraph"/>
        <w:numPr>
          <w:ilvl w:val="0"/>
          <w:numId w:val="12"/>
        </w:numPr>
        <w:autoSpaceDE w:val="0"/>
        <w:autoSpaceDN w:val="0"/>
        <w:adjustRightInd w:val="0"/>
        <w:rPr>
          <w:rFonts w:ascii="Times New Roman" w:hAnsi="Times New Roman"/>
          <w:i/>
          <w:sz w:val="24"/>
          <w:szCs w:val="24"/>
        </w:rPr>
      </w:pPr>
      <w:r>
        <w:rPr>
          <w:rFonts w:ascii="Times New Roman" w:hAnsi="Times New Roman"/>
          <w:i/>
          <w:sz w:val="24"/>
          <w:szCs w:val="24"/>
        </w:rPr>
        <w:t>P</w:t>
      </w:r>
      <w:r w:rsidR="00072B5F">
        <w:rPr>
          <w:rFonts w:ascii="Times New Roman" w:hAnsi="Times New Roman"/>
          <w:i/>
          <w:sz w:val="24"/>
          <w:szCs w:val="24"/>
        </w:rPr>
        <w:t>ractices to ensure that wellness programs are designed to promote health and do not operate to shift costs to employees with health impairments or stigmatized conditions</w:t>
      </w:r>
    </w:p>
    <w:p w:rsidR="00060DAE" w:rsidRDefault="00060DAE" w:rsidP="00C6789D">
      <w:pPr>
        <w:pStyle w:val="ListParagraph"/>
        <w:autoSpaceDE w:val="0"/>
        <w:autoSpaceDN w:val="0"/>
        <w:adjustRightInd w:val="0"/>
        <w:ind w:left="0"/>
        <w:rPr>
          <w:rFonts w:ascii="Times New Roman" w:hAnsi="Times New Roman"/>
          <w:i/>
          <w:sz w:val="24"/>
          <w:szCs w:val="24"/>
        </w:rPr>
      </w:pPr>
    </w:p>
    <w:p w:rsidR="003661BB" w:rsidRDefault="00060DAE" w:rsidP="00060DAE">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The Commission solicits feedback on practices that ensure that wellness programs are designed to promote health and do not operate to shift costs to employees with health impairments or stigmatized conditions.  We point the EEOC to the findings of the RAND study</w:t>
      </w:r>
      <w:r w:rsidR="00325D12">
        <w:rPr>
          <w:rFonts w:ascii="Times New Roman" w:hAnsi="Times New Roman"/>
          <w:sz w:val="24"/>
          <w:szCs w:val="24"/>
        </w:rPr>
        <w:t xml:space="preserve"> sponsored</w:t>
      </w:r>
      <w:r>
        <w:rPr>
          <w:rFonts w:ascii="Times New Roman" w:hAnsi="Times New Roman"/>
          <w:sz w:val="24"/>
          <w:szCs w:val="24"/>
        </w:rPr>
        <w:t xml:space="preserve"> by the Department</w:t>
      </w:r>
      <w:r w:rsidR="00325D12">
        <w:rPr>
          <w:rFonts w:ascii="Times New Roman" w:hAnsi="Times New Roman"/>
          <w:sz w:val="24"/>
          <w:szCs w:val="24"/>
        </w:rPr>
        <w:t>s</w:t>
      </w:r>
      <w:r>
        <w:rPr>
          <w:rFonts w:ascii="Times New Roman" w:hAnsi="Times New Roman"/>
          <w:sz w:val="24"/>
          <w:szCs w:val="24"/>
        </w:rPr>
        <w:t xml:space="preserve"> of Labor</w:t>
      </w:r>
      <w:r w:rsidR="00325D12">
        <w:rPr>
          <w:rFonts w:ascii="Times New Roman" w:hAnsi="Times New Roman"/>
          <w:sz w:val="24"/>
          <w:szCs w:val="24"/>
        </w:rPr>
        <w:t xml:space="preserve"> and HHS</w:t>
      </w:r>
      <w:r>
        <w:rPr>
          <w:rFonts w:ascii="Times New Roman" w:hAnsi="Times New Roman"/>
          <w:sz w:val="24"/>
          <w:szCs w:val="24"/>
        </w:rPr>
        <w:t xml:space="preserve">.  This study found </w:t>
      </w:r>
      <w:r w:rsidR="003661BB">
        <w:rPr>
          <w:rFonts w:ascii="Times New Roman" w:hAnsi="Times New Roman"/>
          <w:sz w:val="24"/>
          <w:szCs w:val="24"/>
        </w:rPr>
        <w:t xml:space="preserve">that well designed wellness programs succeed in promoting employee participation without the use of incentives.  </w:t>
      </w:r>
      <w:r>
        <w:rPr>
          <w:rFonts w:ascii="Times New Roman" w:hAnsi="Times New Roman"/>
          <w:sz w:val="24"/>
          <w:szCs w:val="24"/>
        </w:rPr>
        <w:t>The study</w:t>
      </w:r>
      <w:r w:rsidR="003661BB">
        <w:rPr>
          <w:rFonts w:ascii="Times New Roman" w:hAnsi="Times New Roman"/>
          <w:sz w:val="24"/>
          <w:szCs w:val="24"/>
        </w:rPr>
        <w:t xml:space="preserve"> notes that comprehensive programs with genuine corporate and manager engagement in wellness and commitment to monitoring and evaluating programs tend to succeed.  By contrast, limited programs, such as HRA-only programs, tend not to inspire participation without use of incentives and tend not to reduce costs or improve health.</w:t>
      </w:r>
      <w:r>
        <w:rPr>
          <w:rStyle w:val="FootnoteReference"/>
          <w:rFonts w:ascii="Times New Roman" w:hAnsi="Times New Roman"/>
          <w:sz w:val="24"/>
          <w:szCs w:val="24"/>
        </w:rPr>
        <w:footnoteReference w:id="26"/>
      </w:r>
    </w:p>
    <w:p w:rsidR="003661BB" w:rsidRDefault="003661BB" w:rsidP="003661BB">
      <w:pPr>
        <w:pStyle w:val="ListParagraph"/>
        <w:autoSpaceDE w:val="0"/>
        <w:autoSpaceDN w:val="0"/>
        <w:adjustRightInd w:val="0"/>
        <w:ind w:left="0"/>
        <w:rPr>
          <w:rFonts w:ascii="Times New Roman" w:hAnsi="Times New Roman"/>
          <w:sz w:val="24"/>
          <w:szCs w:val="24"/>
        </w:rPr>
      </w:pPr>
    </w:p>
    <w:p w:rsidR="003661BB" w:rsidRDefault="00E95D04" w:rsidP="003661BB">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W</w:t>
      </w:r>
      <w:r w:rsidR="00060DAE">
        <w:rPr>
          <w:rFonts w:ascii="Times New Roman" w:hAnsi="Times New Roman"/>
          <w:sz w:val="24"/>
          <w:szCs w:val="24"/>
        </w:rPr>
        <w:t xml:space="preserve">e urge the Commission to </w:t>
      </w:r>
      <w:r>
        <w:rPr>
          <w:rFonts w:ascii="Times New Roman" w:hAnsi="Times New Roman"/>
          <w:sz w:val="24"/>
          <w:szCs w:val="24"/>
        </w:rPr>
        <w:t>require that</w:t>
      </w:r>
      <w:r w:rsidR="008F151A">
        <w:rPr>
          <w:rFonts w:ascii="Times New Roman" w:hAnsi="Times New Roman"/>
          <w:sz w:val="24"/>
          <w:szCs w:val="24"/>
        </w:rPr>
        <w:t>, to be a</w:t>
      </w:r>
      <w:r>
        <w:rPr>
          <w:rFonts w:ascii="Times New Roman" w:hAnsi="Times New Roman"/>
          <w:sz w:val="24"/>
          <w:szCs w:val="24"/>
        </w:rPr>
        <w:t xml:space="preserve"> </w:t>
      </w:r>
      <w:r w:rsidR="008F151A">
        <w:rPr>
          <w:rFonts w:ascii="Times New Roman" w:hAnsi="Times New Roman"/>
          <w:sz w:val="24"/>
          <w:szCs w:val="24"/>
        </w:rPr>
        <w:t>“</w:t>
      </w:r>
      <w:r>
        <w:rPr>
          <w:rFonts w:ascii="Times New Roman" w:hAnsi="Times New Roman"/>
          <w:sz w:val="24"/>
          <w:szCs w:val="24"/>
        </w:rPr>
        <w:t>reasonably designed wellness program</w:t>
      </w:r>
      <w:r w:rsidR="008F151A">
        <w:rPr>
          <w:rFonts w:ascii="Times New Roman" w:hAnsi="Times New Roman"/>
          <w:sz w:val="24"/>
          <w:szCs w:val="24"/>
        </w:rPr>
        <w:t>,” a program</w:t>
      </w:r>
      <w:r>
        <w:rPr>
          <w:rFonts w:ascii="Times New Roman" w:hAnsi="Times New Roman"/>
          <w:sz w:val="24"/>
          <w:szCs w:val="24"/>
        </w:rPr>
        <w:t xml:space="preserve"> must offer </w:t>
      </w:r>
      <w:r w:rsidRPr="00C6789D">
        <w:rPr>
          <w:rFonts w:ascii="Times New Roman" w:hAnsi="Times New Roman"/>
          <w:i/>
          <w:sz w:val="24"/>
          <w:szCs w:val="24"/>
        </w:rPr>
        <w:t>services</w:t>
      </w:r>
      <w:r w:rsidR="008F151A">
        <w:rPr>
          <w:rFonts w:ascii="Times New Roman" w:hAnsi="Times New Roman"/>
          <w:sz w:val="24"/>
          <w:szCs w:val="24"/>
        </w:rPr>
        <w:t xml:space="preserve"> beyond simply telling employees to follow up on potential health risks</w:t>
      </w:r>
      <w:r>
        <w:rPr>
          <w:rFonts w:ascii="Times New Roman" w:hAnsi="Times New Roman"/>
          <w:sz w:val="24"/>
          <w:szCs w:val="24"/>
        </w:rPr>
        <w:t xml:space="preserve">.  The Commission’s proposed rule would appear to permit </w:t>
      </w:r>
      <w:r w:rsidR="009D063E">
        <w:rPr>
          <w:rFonts w:ascii="Times New Roman" w:hAnsi="Times New Roman"/>
          <w:sz w:val="24"/>
          <w:szCs w:val="24"/>
        </w:rPr>
        <w:t xml:space="preserve">wellness programs that are effectively </w:t>
      </w:r>
      <w:r>
        <w:rPr>
          <w:rFonts w:ascii="Times New Roman" w:hAnsi="Times New Roman"/>
          <w:sz w:val="24"/>
          <w:szCs w:val="24"/>
        </w:rPr>
        <w:t>HRA-only programs</w:t>
      </w:r>
      <w:r w:rsidR="009D063E">
        <w:rPr>
          <w:rFonts w:ascii="Times New Roman" w:hAnsi="Times New Roman"/>
          <w:sz w:val="24"/>
          <w:szCs w:val="24"/>
        </w:rPr>
        <w:t xml:space="preserve"> to solicit employees’ medical info</w:t>
      </w:r>
      <w:r w:rsidR="008F151A">
        <w:rPr>
          <w:rFonts w:ascii="Times New Roman" w:hAnsi="Times New Roman"/>
          <w:sz w:val="24"/>
          <w:szCs w:val="24"/>
        </w:rPr>
        <w:t>rmation</w:t>
      </w:r>
      <w:r w:rsidR="005F1C2A">
        <w:rPr>
          <w:rFonts w:ascii="Times New Roman" w:hAnsi="Times New Roman"/>
          <w:sz w:val="24"/>
          <w:szCs w:val="24"/>
        </w:rPr>
        <w:t xml:space="preserve">.  </w:t>
      </w:r>
      <w:r>
        <w:rPr>
          <w:rFonts w:ascii="Times New Roman" w:hAnsi="Times New Roman"/>
          <w:sz w:val="24"/>
          <w:szCs w:val="24"/>
        </w:rPr>
        <w:t xml:space="preserve"> </w:t>
      </w:r>
      <w:r w:rsidR="005F1C2A">
        <w:rPr>
          <w:rFonts w:ascii="Times New Roman" w:hAnsi="Times New Roman"/>
          <w:sz w:val="24"/>
          <w:szCs w:val="24"/>
        </w:rPr>
        <w:t>W</w:t>
      </w:r>
      <w:r w:rsidR="009D063E">
        <w:rPr>
          <w:rFonts w:ascii="Times New Roman" w:hAnsi="Times New Roman"/>
          <w:sz w:val="24"/>
          <w:szCs w:val="24"/>
        </w:rPr>
        <w:t xml:space="preserve">e do not believe Congress intended </w:t>
      </w:r>
      <w:r w:rsidR="005F1C2A">
        <w:rPr>
          <w:rFonts w:ascii="Times New Roman" w:hAnsi="Times New Roman"/>
          <w:sz w:val="24"/>
          <w:szCs w:val="24"/>
        </w:rPr>
        <w:t>th</w:t>
      </w:r>
      <w:r w:rsidR="008F151A">
        <w:rPr>
          <w:rFonts w:ascii="Times New Roman" w:hAnsi="Times New Roman"/>
          <w:sz w:val="24"/>
          <w:szCs w:val="24"/>
        </w:rPr>
        <w:t>e “employee health</w:t>
      </w:r>
      <w:r w:rsidR="005F1C2A">
        <w:rPr>
          <w:rFonts w:ascii="Times New Roman" w:hAnsi="Times New Roman"/>
          <w:sz w:val="24"/>
          <w:szCs w:val="24"/>
        </w:rPr>
        <w:t xml:space="preserve"> program</w:t>
      </w:r>
      <w:r w:rsidR="008F151A">
        <w:rPr>
          <w:rFonts w:ascii="Times New Roman" w:hAnsi="Times New Roman"/>
          <w:sz w:val="24"/>
          <w:szCs w:val="24"/>
        </w:rPr>
        <w:t>”</w:t>
      </w:r>
      <w:r w:rsidR="005F1C2A">
        <w:rPr>
          <w:rFonts w:ascii="Times New Roman" w:hAnsi="Times New Roman"/>
          <w:sz w:val="24"/>
          <w:szCs w:val="24"/>
        </w:rPr>
        <w:t xml:space="preserve"> exception to the ADA’s medical inquiries provisio</w:t>
      </w:r>
      <w:r w:rsidR="008F151A">
        <w:rPr>
          <w:rFonts w:ascii="Times New Roman" w:hAnsi="Times New Roman"/>
          <w:sz w:val="24"/>
          <w:szCs w:val="24"/>
        </w:rPr>
        <w:t>n to encompass programs that do</w:t>
      </w:r>
      <w:r w:rsidR="005F1C2A">
        <w:rPr>
          <w:rFonts w:ascii="Times New Roman" w:hAnsi="Times New Roman"/>
          <w:sz w:val="24"/>
          <w:szCs w:val="24"/>
        </w:rPr>
        <w:t xml:space="preserve"> not actually provide any health ser</w:t>
      </w:r>
      <w:r w:rsidR="008F151A">
        <w:rPr>
          <w:rFonts w:ascii="Times New Roman" w:hAnsi="Times New Roman"/>
          <w:sz w:val="24"/>
          <w:szCs w:val="24"/>
        </w:rPr>
        <w:t>vice other than suggesting that employees follow up on any potential health risks</w:t>
      </w:r>
      <w:r w:rsidR="005F1C2A">
        <w:rPr>
          <w:rFonts w:ascii="Times New Roman" w:hAnsi="Times New Roman"/>
          <w:sz w:val="24"/>
          <w:szCs w:val="24"/>
        </w:rPr>
        <w:t xml:space="preserve">; such a rule would </w:t>
      </w:r>
      <w:r w:rsidR="008F151A">
        <w:rPr>
          <w:rFonts w:ascii="Times New Roman" w:hAnsi="Times New Roman"/>
          <w:sz w:val="24"/>
          <w:szCs w:val="24"/>
        </w:rPr>
        <w:t xml:space="preserve">allow the </w:t>
      </w:r>
      <w:r w:rsidR="008F151A">
        <w:rPr>
          <w:rFonts w:ascii="Times New Roman" w:hAnsi="Times New Roman"/>
          <w:sz w:val="24"/>
          <w:szCs w:val="24"/>
        </w:rPr>
        <w:lastRenderedPageBreak/>
        <w:t xml:space="preserve">exception to swallow the rule by </w:t>
      </w:r>
      <w:r w:rsidR="005F1C2A">
        <w:rPr>
          <w:rFonts w:ascii="Times New Roman" w:hAnsi="Times New Roman"/>
          <w:sz w:val="24"/>
          <w:szCs w:val="24"/>
        </w:rPr>
        <w:t xml:space="preserve">affording employers carte blanche to ask workers all manner of medical questions without actually offering any health program services that benefit the workers.  </w:t>
      </w:r>
      <w:r w:rsidR="009D063E">
        <w:rPr>
          <w:rFonts w:ascii="Times New Roman" w:hAnsi="Times New Roman"/>
          <w:sz w:val="24"/>
          <w:szCs w:val="24"/>
        </w:rPr>
        <w:t xml:space="preserve"> </w:t>
      </w:r>
    </w:p>
    <w:p w:rsidR="003661BB" w:rsidRDefault="003661BB" w:rsidP="003661BB">
      <w:pPr>
        <w:pStyle w:val="ListParagraph"/>
        <w:autoSpaceDE w:val="0"/>
        <w:autoSpaceDN w:val="0"/>
        <w:adjustRightInd w:val="0"/>
        <w:ind w:left="0"/>
        <w:rPr>
          <w:rFonts w:ascii="Times New Roman" w:hAnsi="Times New Roman"/>
          <w:sz w:val="24"/>
          <w:szCs w:val="24"/>
        </w:rPr>
      </w:pPr>
    </w:p>
    <w:p w:rsidR="003661BB" w:rsidRDefault="00DE59FF" w:rsidP="003661BB">
      <w:pPr>
        <w:pStyle w:val="ListParagraph"/>
        <w:autoSpaceDE w:val="0"/>
        <w:autoSpaceDN w:val="0"/>
        <w:adjustRightInd w:val="0"/>
        <w:ind w:left="0"/>
        <w:rPr>
          <w:rFonts w:ascii="Times New Roman" w:hAnsi="Times New Roman"/>
          <w:sz w:val="24"/>
          <w:szCs w:val="24"/>
        </w:rPr>
      </w:pPr>
      <w:r>
        <w:rPr>
          <w:rFonts w:ascii="Times New Roman" w:hAnsi="Times New Roman"/>
          <w:sz w:val="24"/>
          <w:szCs w:val="24"/>
        </w:rPr>
        <w:t>We also urge the Commission to require that, to be reasonably designed to promote health, a wellness program must have a solid evid</w:t>
      </w:r>
      <w:r w:rsidR="00A8686E">
        <w:rPr>
          <w:rFonts w:ascii="Times New Roman" w:hAnsi="Times New Roman"/>
          <w:sz w:val="24"/>
          <w:szCs w:val="24"/>
        </w:rPr>
        <w:t>ence base demonstrating that the program—including any penalties or rewards that it imposes—</w:t>
      </w:r>
      <w:r>
        <w:rPr>
          <w:rFonts w:ascii="Times New Roman" w:hAnsi="Times New Roman"/>
          <w:sz w:val="24"/>
          <w:szCs w:val="24"/>
        </w:rPr>
        <w:t xml:space="preserve">results in significant improvement in employees’ health and significant reductions in health care costs.  </w:t>
      </w:r>
      <w:r w:rsidR="00A8686E">
        <w:rPr>
          <w:rFonts w:ascii="Times New Roman" w:hAnsi="Times New Roman"/>
          <w:sz w:val="24"/>
          <w:szCs w:val="24"/>
        </w:rPr>
        <w:t>The principal author of the federal government-</w:t>
      </w:r>
      <w:r w:rsidR="00325D12">
        <w:rPr>
          <w:rFonts w:ascii="Times New Roman" w:hAnsi="Times New Roman"/>
          <w:sz w:val="24"/>
          <w:szCs w:val="24"/>
        </w:rPr>
        <w:t>sponsored</w:t>
      </w:r>
      <w:r w:rsidR="00A8686E">
        <w:rPr>
          <w:rFonts w:ascii="Times New Roman" w:hAnsi="Times New Roman"/>
          <w:sz w:val="24"/>
          <w:szCs w:val="24"/>
        </w:rPr>
        <w:t xml:space="preserve"> RAND study, the lead study on wellness program effectiveness, stated:</w:t>
      </w:r>
    </w:p>
    <w:p w:rsidR="00A8686E" w:rsidRDefault="00A8686E" w:rsidP="003661BB">
      <w:pPr>
        <w:pStyle w:val="ListParagraph"/>
        <w:autoSpaceDE w:val="0"/>
        <w:autoSpaceDN w:val="0"/>
        <w:adjustRightInd w:val="0"/>
        <w:ind w:left="0"/>
        <w:rPr>
          <w:rFonts w:ascii="Times New Roman" w:hAnsi="Times New Roman"/>
          <w:sz w:val="24"/>
          <w:szCs w:val="24"/>
        </w:rPr>
      </w:pPr>
    </w:p>
    <w:p w:rsidR="00A8686E" w:rsidRPr="00A8686E" w:rsidRDefault="00A8686E" w:rsidP="00A8686E">
      <w:pPr>
        <w:pStyle w:val="ListParagraph"/>
        <w:autoSpaceDE w:val="0"/>
        <w:autoSpaceDN w:val="0"/>
        <w:adjustRightInd w:val="0"/>
        <w:ind w:left="432" w:right="432"/>
        <w:rPr>
          <w:rFonts w:ascii="Times New Roman" w:hAnsi="Times New Roman"/>
          <w:sz w:val="24"/>
          <w:szCs w:val="24"/>
        </w:rPr>
      </w:pPr>
      <w:r w:rsidRPr="00F96952">
        <w:rPr>
          <w:rFonts w:ascii="Times New Roman" w:hAnsi="Times New Roman"/>
          <w:sz w:val="24"/>
          <w:szCs w:val="24"/>
        </w:rPr>
        <w:t>Why do employees, and in particular those at high risk, choose not to participate? We do not yet have the evidence or insight to understand and convincingly answer that question. When we do, we will be able to design attractive and accessible programs. In the meantime</w:t>
      </w:r>
      <w:r w:rsidRPr="00325D12">
        <w:rPr>
          <w:rFonts w:ascii="Times New Roman" w:hAnsi="Times New Roman"/>
          <w:i/>
          <w:sz w:val="24"/>
          <w:szCs w:val="24"/>
        </w:rPr>
        <w:t>, we should not penalize vulnerable employees who are reluctant to join marginally effective programs</w:t>
      </w:r>
      <w:r w:rsidRPr="00F96952">
        <w:rPr>
          <w:rFonts w:ascii="Times New Roman" w:hAnsi="Times New Roman"/>
          <w:sz w:val="24"/>
          <w:szCs w:val="24"/>
        </w:rPr>
        <w:t>.</w:t>
      </w:r>
      <w:r w:rsidRPr="00F96952">
        <w:rPr>
          <w:rStyle w:val="FootnoteReference"/>
          <w:rFonts w:ascii="Times New Roman" w:hAnsi="Times New Roman"/>
          <w:sz w:val="24"/>
          <w:szCs w:val="24"/>
        </w:rPr>
        <w:footnoteReference w:id="27"/>
      </w:r>
    </w:p>
    <w:p w:rsidR="003661BB" w:rsidRDefault="003661BB" w:rsidP="003661BB">
      <w:pPr>
        <w:pStyle w:val="ListParagraph"/>
        <w:autoSpaceDE w:val="0"/>
        <w:autoSpaceDN w:val="0"/>
        <w:adjustRightInd w:val="0"/>
        <w:rPr>
          <w:rFonts w:ascii="Times New Roman" w:hAnsi="Times New Roman"/>
          <w:i/>
          <w:sz w:val="24"/>
          <w:szCs w:val="24"/>
        </w:rPr>
      </w:pPr>
    </w:p>
    <w:p w:rsidR="003661BB" w:rsidRDefault="003661BB" w:rsidP="00072B5F">
      <w:pPr>
        <w:pStyle w:val="ListParagraph"/>
        <w:numPr>
          <w:ilvl w:val="0"/>
          <w:numId w:val="12"/>
        </w:numPr>
        <w:autoSpaceDE w:val="0"/>
        <w:autoSpaceDN w:val="0"/>
        <w:adjustRightInd w:val="0"/>
        <w:rPr>
          <w:rFonts w:ascii="Times New Roman" w:hAnsi="Times New Roman"/>
          <w:i/>
          <w:sz w:val="24"/>
          <w:szCs w:val="24"/>
        </w:rPr>
      </w:pPr>
      <w:r>
        <w:rPr>
          <w:rFonts w:ascii="Times New Roman" w:hAnsi="Times New Roman"/>
          <w:i/>
          <w:sz w:val="24"/>
          <w:szCs w:val="24"/>
        </w:rPr>
        <w:t xml:space="preserve">Whether employers offer wellness programs outside of a group health plan and whether </w:t>
      </w:r>
      <w:r w:rsidR="00E95D04">
        <w:rPr>
          <w:rFonts w:ascii="Times New Roman" w:hAnsi="Times New Roman"/>
          <w:i/>
          <w:sz w:val="24"/>
          <w:szCs w:val="24"/>
        </w:rPr>
        <w:t xml:space="preserve">the ADA should </w:t>
      </w:r>
      <w:r>
        <w:rPr>
          <w:rFonts w:ascii="Times New Roman" w:hAnsi="Times New Roman"/>
          <w:i/>
          <w:sz w:val="24"/>
          <w:szCs w:val="24"/>
        </w:rPr>
        <w:t xml:space="preserve">limit </w:t>
      </w:r>
      <w:r w:rsidR="00E95D04">
        <w:rPr>
          <w:rFonts w:ascii="Times New Roman" w:hAnsi="Times New Roman"/>
          <w:i/>
          <w:sz w:val="24"/>
          <w:szCs w:val="24"/>
        </w:rPr>
        <w:t>the</w:t>
      </w:r>
      <w:r>
        <w:rPr>
          <w:rFonts w:ascii="Times New Roman" w:hAnsi="Times New Roman"/>
          <w:i/>
          <w:sz w:val="24"/>
          <w:szCs w:val="24"/>
        </w:rPr>
        <w:t xml:space="preserve"> use of incentives</w:t>
      </w:r>
      <w:r w:rsidR="00E95D04">
        <w:rPr>
          <w:rFonts w:ascii="Times New Roman" w:hAnsi="Times New Roman"/>
          <w:i/>
          <w:sz w:val="24"/>
          <w:szCs w:val="24"/>
        </w:rPr>
        <w:t xml:space="preserve"> in those programs</w:t>
      </w:r>
      <w:r>
        <w:rPr>
          <w:rFonts w:ascii="Times New Roman" w:hAnsi="Times New Roman"/>
          <w:i/>
          <w:sz w:val="24"/>
          <w:szCs w:val="24"/>
        </w:rPr>
        <w:t>.</w:t>
      </w:r>
    </w:p>
    <w:p w:rsidR="002F6809" w:rsidRDefault="00AE009A" w:rsidP="003661BB">
      <w:pPr>
        <w:autoSpaceDE w:val="0"/>
        <w:autoSpaceDN w:val="0"/>
        <w:adjustRightInd w:val="0"/>
        <w:rPr>
          <w:rFonts w:ascii="Times New Roman" w:hAnsi="Times New Roman"/>
          <w:sz w:val="24"/>
          <w:szCs w:val="24"/>
        </w:rPr>
      </w:pPr>
      <w:r>
        <w:rPr>
          <w:rFonts w:ascii="Times New Roman" w:hAnsi="Times New Roman"/>
          <w:sz w:val="24"/>
          <w:szCs w:val="24"/>
        </w:rPr>
        <w:t xml:space="preserve">According to the Kaiser Family Foundation, </w:t>
      </w:r>
      <w:r w:rsidR="003661BB">
        <w:rPr>
          <w:rFonts w:ascii="Times New Roman" w:hAnsi="Times New Roman"/>
          <w:sz w:val="24"/>
          <w:szCs w:val="24"/>
        </w:rPr>
        <w:t xml:space="preserve">nearly half of large employer wellness programs – and more than half of very large employer wellness programs </w:t>
      </w:r>
      <w:r>
        <w:rPr>
          <w:rFonts w:ascii="Times New Roman" w:hAnsi="Times New Roman"/>
          <w:sz w:val="24"/>
          <w:szCs w:val="24"/>
        </w:rPr>
        <w:t xml:space="preserve">(those with more than 5000 workers) </w:t>
      </w:r>
      <w:r w:rsidR="003661BB">
        <w:rPr>
          <w:rFonts w:ascii="Times New Roman" w:hAnsi="Times New Roman"/>
          <w:sz w:val="24"/>
          <w:szCs w:val="24"/>
        </w:rPr>
        <w:t>say they are offered outside of the group health plan.</w:t>
      </w:r>
      <w:r w:rsidR="00C6789D">
        <w:rPr>
          <w:rStyle w:val="FootnoteReference"/>
          <w:rFonts w:ascii="Times New Roman" w:hAnsi="Times New Roman"/>
          <w:sz w:val="24"/>
          <w:szCs w:val="24"/>
        </w:rPr>
        <w:footnoteReference w:id="28"/>
      </w:r>
      <w:r w:rsidR="003661BB">
        <w:rPr>
          <w:rFonts w:ascii="Times New Roman" w:hAnsi="Times New Roman"/>
          <w:sz w:val="24"/>
          <w:szCs w:val="24"/>
        </w:rPr>
        <w:t xml:space="preserve">  </w:t>
      </w:r>
      <w:r w:rsidR="00C6789D">
        <w:rPr>
          <w:rFonts w:ascii="Times New Roman" w:hAnsi="Times New Roman"/>
          <w:sz w:val="24"/>
          <w:szCs w:val="24"/>
        </w:rPr>
        <w:t xml:space="preserve">The </w:t>
      </w:r>
      <w:r w:rsidR="00DE59FF">
        <w:rPr>
          <w:rFonts w:ascii="Times New Roman" w:hAnsi="Times New Roman"/>
          <w:sz w:val="24"/>
          <w:szCs w:val="24"/>
        </w:rPr>
        <w:t xml:space="preserve">Commission’s rationale for its proposed reading of the ADA’s “voluntary” medical inquiries requirement in group health plan wellness programs is an </w:t>
      </w:r>
      <w:r w:rsidR="00C6789D">
        <w:rPr>
          <w:rFonts w:ascii="Times New Roman" w:hAnsi="Times New Roman"/>
          <w:sz w:val="24"/>
          <w:szCs w:val="24"/>
        </w:rPr>
        <w:t>asserted need to conform the ADA to the ACA/HIPAA provisions concerning wellness program penalties</w:t>
      </w:r>
      <w:r w:rsidR="00DE59FF">
        <w:rPr>
          <w:rFonts w:ascii="Times New Roman" w:hAnsi="Times New Roman"/>
          <w:sz w:val="24"/>
          <w:szCs w:val="24"/>
        </w:rPr>
        <w:t>.  For wellness programs outside of group health plans, t</w:t>
      </w:r>
      <w:r w:rsidR="00C6789D">
        <w:rPr>
          <w:rFonts w:ascii="Times New Roman" w:hAnsi="Times New Roman"/>
          <w:sz w:val="24"/>
          <w:szCs w:val="24"/>
        </w:rPr>
        <w:t>h</w:t>
      </w:r>
      <w:r w:rsidR="00DE59FF">
        <w:rPr>
          <w:rFonts w:ascii="Times New Roman" w:hAnsi="Times New Roman"/>
          <w:sz w:val="24"/>
          <w:szCs w:val="24"/>
        </w:rPr>
        <w:t xml:space="preserve">ere is no need to conform the ADA to the ACA and HIPAA, as the relevant provisions of those laws </w:t>
      </w:r>
      <w:r w:rsidR="00C6789D">
        <w:rPr>
          <w:rFonts w:ascii="Times New Roman" w:hAnsi="Times New Roman"/>
          <w:sz w:val="24"/>
          <w:szCs w:val="24"/>
        </w:rPr>
        <w:t xml:space="preserve">apply only to group health plans, and thus there is no need to conform the ADA to the ACA/HIPAA with respect to wellness programs outside of group health plans.  </w:t>
      </w:r>
      <w:r w:rsidR="00DE59FF">
        <w:rPr>
          <w:rFonts w:ascii="Times New Roman" w:hAnsi="Times New Roman"/>
          <w:sz w:val="24"/>
          <w:szCs w:val="24"/>
        </w:rPr>
        <w:t xml:space="preserve">It would add insult to injury to permit the use of penalties to pressure employees to answer “voluntary” medical questions when there is not even an applicable ACA/HIPAA provision that the Commission claims is in conflict with the ADA’s medical inquiries requirement. </w:t>
      </w:r>
      <w:r w:rsidR="00C6789D">
        <w:rPr>
          <w:rFonts w:ascii="Times New Roman" w:hAnsi="Times New Roman"/>
          <w:sz w:val="24"/>
          <w:szCs w:val="24"/>
        </w:rPr>
        <w:t xml:space="preserve"> For these wellness programs, the Commission should retain its existing rule and disallow penalties for failure to answer medical inquiries or take medical exams.  </w:t>
      </w:r>
    </w:p>
    <w:p w:rsidR="00283E85" w:rsidRPr="00283E85" w:rsidRDefault="00FE571D" w:rsidP="00F96952">
      <w:pPr>
        <w:pStyle w:val="ListParagraph"/>
        <w:numPr>
          <w:ilvl w:val="0"/>
          <w:numId w:val="8"/>
        </w:numPr>
        <w:autoSpaceDE w:val="0"/>
        <w:autoSpaceDN w:val="0"/>
        <w:adjustRightInd w:val="0"/>
        <w:rPr>
          <w:rFonts w:ascii="Times New Roman" w:hAnsi="Times New Roman"/>
          <w:b/>
          <w:sz w:val="24"/>
          <w:szCs w:val="24"/>
          <w:u w:val="single"/>
        </w:rPr>
      </w:pPr>
      <w:r>
        <w:rPr>
          <w:rFonts w:ascii="Times New Roman" w:hAnsi="Times New Roman"/>
          <w:b/>
          <w:sz w:val="24"/>
          <w:szCs w:val="24"/>
          <w:u w:val="single"/>
        </w:rPr>
        <w:lastRenderedPageBreak/>
        <w:t xml:space="preserve">The Commission Should </w:t>
      </w:r>
      <w:r w:rsidR="00325D12">
        <w:rPr>
          <w:rFonts w:ascii="Times New Roman" w:hAnsi="Times New Roman"/>
          <w:b/>
          <w:sz w:val="24"/>
          <w:szCs w:val="24"/>
          <w:u w:val="single"/>
        </w:rPr>
        <w:t>Specify that Waiver of Wellness Program Penalties May be Required as a Reasonable Accommodation in order to Ensure Equal Opportunity for Workers with Disabilities</w:t>
      </w:r>
    </w:p>
    <w:p w:rsidR="00283E85" w:rsidRDefault="00325D12" w:rsidP="00283E85">
      <w:pPr>
        <w:rPr>
          <w:rFonts w:ascii="Times New Roman" w:hAnsi="Times New Roman"/>
          <w:sz w:val="24"/>
          <w:szCs w:val="24"/>
        </w:rPr>
      </w:pPr>
      <w:r>
        <w:rPr>
          <w:rFonts w:ascii="Times New Roman" w:hAnsi="Times New Roman"/>
          <w:sz w:val="24"/>
          <w:szCs w:val="24"/>
        </w:rPr>
        <w:t>While the preamble briefly discusses the ADA’s reasonable accommodation requirement, t</w:t>
      </w:r>
      <w:r w:rsidR="00FE571D">
        <w:rPr>
          <w:rFonts w:ascii="Times New Roman" w:hAnsi="Times New Roman"/>
          <w:sz w:val="24"/>
          <w:szCs w:val="24"/>
        </w:rPr>
        <w:t xml:space="preserve">he </w:t>
      </w:r>
      <w:r>
        <w:rPr>
          <w:rFonts w:ascii="Times New Roman" w:hAnsi="Times New Roman"/>
          <w:sz w:val="24"/>
          <w:szCs w:val="24"/>
        </w:rPr>
        <w:t xml:space="preserve">text of the </w:t>
      </w:r>
      <w:r w:rsidR="00FE571D">
        <w:rPr>
          <w:rFonts w:ascii="Times New Roman" w:hAnsi="Times New Roman"/>
          <w:sz w:val="24"/>
          <w:szCs w:val="24"/>
        </w:rPr>
        <w:t xml:space="preserve">proposed rule </w:t>
      </w:r>
      <w:r>
        <w:rPr>
          <w:rFonts w:ascii="Times New Roman" w:hAnsi="Times New Roman"/>
          <w:sz w:val="24"/>
          <w:szCs w:val="24"/>
        </w:rPr>
        <w:t>says nothing about this requirement. For some employees with disabilities, w</w:t>
      </w:r>
      <w:r w:rsidR="00C07F95">
        <w:rPr>
          <w:rFonts w:ascii="Times New Roman" w:hAnsi="Times New Roman"/>
          <w:sz w:val="24"/>
          <w:szCs w:val="24"/>
        </w:rPr>
        <w:t xml:space="preserve">aiver of wellness program penalties for failure to answer medical inquiries and/or failure to participate in wellness program services is a necessary reasonable accommodation to ensure equal employment opportunity.  Some of the examples provided in the comments submitted by groups representing individuals with eating disorders highlight the need for waiver of penalties to ensure that employees with disabilities are treated equally; for many of these individuals, wellness programs are not only ill-suited to meet their health needs but cause harm.  The EEOC should specify that waiver of penalties (or rewards) may be required as a reasonable accommodation.  The EEOC should also state that the ADA’s prohibition on disability-based discrimination in the terms and conditions of employment </w:t>
      </w:r>
      <w:r w:rsidR="00BA634A">
        <w:rPr>
          <w:rFonts w:ascii="Times New Roman" w:hAnsi="Times New Roman"/>
          <w:sz w:val="24"/>
          <w:szCs w:val="24"/>
        </w:rPr>
        <w:t>also apply to wellness programs.</w:t>
      </w:r>
    </w:p>
    <w:p w:rsidR="00283E85" w:rsidRPr="00951C8B" w:rsidRDefault="00283E85" w:rsidP="00951C8B">
      <w:pPr>
        <w:rPr>
          <w:rFonts w:ascii="Times New Roman" w:hAnsi="Times New Roman"/>
          <w:sz w:val="24"/>
          <w:szCs w:val="24"/>
        </w:rPr>
      </w:pPr>
    </w:p>
    <w:p w:rsidR="00DC6A4E" w:rsidRPr="009B645E" w:rsidRDefault="00DC6A4E" w:rsidP="00353935">
      <w:pPr>
        <w:rPr>
          <w:szCs w:val="24"/>
        </w:rPr>
      </w:pPr>
    </w:p>
    <w:sectPr w:rsidR="00DC6A4E" w:rsidRPr="009B645E" w:rsidSect="00900D08">
      <w:footerReference w:type="default" r:id="rId12"/>
      <w:headerReference w:type="first" r:id="rId13"/>
      <w:footerReference w:type="first" r:id="rId14"/>
      <w:pgSz w:w="12240" w:h="15840"/>
      <w:pgMar w:top="1440" w:right="1440" w:bottom="1440" w:left="1440" w:header="288" w:footer="3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05" w:rsidRDefault="00405705" w:rsidP="007D37CA">
      <w:pPr>
        <w:spacing w:after="0" w:line="240" w:lineRule="auto"/>
      </w:pPr>
      <w:r>
        <w:separator/>
      </w:r>
    </w:p>
  </w:endnote>
  <w:endnote w:type="continuationSeparator" w:id="0">
    <w:p w:rsidR="00405705" w:rsidRDefault="00405705" w:rsidP="007D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OlSt BT">
    <w:altName w:val="Times New Roman"/>
    <w:charset w:val="00"/>
    <w:family w:val="roman"/>
    <w:pitch w:val="variable"/>
    <w:sig w:usb0="00000001" w:usb1="1000204A" w:usb2="00000000" w:usb3="00000000" w:csb0="00000011"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112814"/>
      <w:docPartObj>
        <w:docPartGallery w:val="Page Numbers (Bottom of Page)"/>
        <w:docPartUnique/>
      </w:docPartObj>
    </w:sdtPr>
    <w:sdtEndPr>
      <w:rPr>
        <w:noProof/>
      </w:rPr>
    </w:sdtEndPr>
    <w:sdtContent>
      <w:p w:rsidR="00900D08" w:rsidRDefault="00900D08">
        <w:pPr>
          <w:pStyle w:val="Footer"/>
          <w:jc w:val="center"/>
        </w:pPr>
        <w:r>
          <w:fldChar w:fldCharType="begin"/>
        </w:r>
        <w:r>
          <w:instrText xml:space="preserve"> PAGE   \* MERGEFORMAT </w:instrText>
        </w:r>
        <w:r>
          <w:fldChar w:fldCharType="separate"/>
        </w:r>
        <w:r w:rsidR="00FB7E2C">
          <w:rPr>
            <w:noProof/>
          </w:rPr>
          <w:t>18</w:t>
        </w:r>
        <w:r>
          <w:rPr>
            <w:noProof/>
          </w:rPr>
          <w:fldChar w:fldCharType="end"/>
        </w:r>
      </w:p>
    </w:sdtContent>
  </w:sdt>
  <w:p w:rsidR="00900D08" w:rsidRDefault="0090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C9" w:rsidRPr="009A0D11" w:rsidRDefault="00FD6DC9" w:rsidP="00C7613A">
    <w:pPr>
      <w:pStyle w:val="Header"/>
      <w:jc w:val="center"/>
      <w:rPr>
        <w:rFonts w:asciiTheme="majorHAnsi" w:hAnsiTheme="majorHAnsi"/>
        <w:color w:val="794037"/>
        <w:sz w:val="20"/>
        <w:szCs w:val="20"/>
      </w:rPr>
    </w:pPr>
    <w:r w:rsidRPr="009A0D11">
      <w:rPr>
        <w:rFonts w:asciiTheme="majorHAnsi" w:hAnsiTheme="majorHAnsi"/>
        <w:color w:val="794037"/>
        <w:sz w:val="20"/>
        <w:szCs w:val="20"/>
      </w:rPr>
      <w:t>1101 15th St. NW, Suite 1212, Washington, DC 20005 | Phone: 202-467-5730 |</w:t>
    </w:r>
    <w:r>
      <w:rPr>
        <w:rFonts w:asciiTheme="majorHAnsi" w:hAnsiTheme="majorHAnsi"/>
        <w:color w:val="794037"/>
        <w:sz w:val="20"/>
        <w:szCs w:val="20"/>
      </w:rPr>
      <w:t xml:space="preserve"> </w:t>
    </w:r>
    <w:r w:rsidRPr="009A0D11">
      <w:rPr>
        <w:rFonts w:asciiTheme="majorHAnsi" w:hAnsiTheme="majorHAnsi"/>
        <w:color w:val="794037"/>
        <w:sz w:val="20"/>
        <w:szCs w:val="20"/>
      </w:rPr>
      <w:t>www.bazelon.org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05" w:rsidRDefault="00405705" w:rsidP="007D37CA">
      <w:pPr>
        <w:spacing w:after="0" w:line="240" w:lineRule="auto"/>
      </w:pPr>
      <w:r>
        <w:separator/>
      </w:r>
    </w:p>
  </w:footnote>
  <w:footnote w:type="continuationSeparator" w:id="0">
    <w:p w:rsidR="00405705" w:rsidRDefault="00405705" w:rsidP="007D37CA">
      <w:pPr>
        <w:spacing w:after="0" w:line="240" w:lineRule="auto"/>
      </w:pPr>
      <w:r>
        <w:continuationSeparator/>
      </w:r>
    </w:p>
  </w:footnote>
  <w:footnote w:id="1">
    <w:p w:rsidR="009B645E" w:rsidRPr="009B645E" w:rsidRDefault="009B645E" w:rsidP="009B645E">
      <w:pPr>
        <w:pStyle w:val="Default"/>
        <w:ind w:left="1584"/>
        <w:rPr>
          <w:sz w:val="22"/>
          <w:szCs w:val="22"/>
        </w:rPr>
      </w:pPr>
      <w:r w:rsidRPr="00CE5767">
        <w:rPr>
          <w:rStyle w:val="FootnoteReference"/>
          <w:sz w:val="22"/>
          <w:szCs w:val="22"/>
        </w:rPr>
        <w:footnoteRef/>
      </w:r>
      <w:r w:rsidRPr="00CE5767">
        <w:rPr>
          <w:sz w:val="22"/>
          <w:szCs w:val="22"/>
        </w:rPr>
        <w:t xml:space="preserve"> Senate </w:t>
      </w:r>
      <w:r w:rsidRPr="009B645E">
        <w:rPr>
          <w:sz w:val="22"/>
          <w:szCs w:val="22"/>
        </w:rPr>
        <w:t xml:space="preserve">Committee on Health, Education, Labor and Pensions, </w:t>
      </w:r>
      <w:r w:rsidRPr="009B645E">
        <w:rPr>
          <w:i/>
          <w:sz w:val="22"/>
          <w:szCs w:val="22"/>
        </w:rPr>
        <w:t>Fulfilling the Promise:  Overcoming the Persistent Barriers to Economic Self-Sufficiency for People with Disabilities</w:t>
      </w:r>
      <w:r w:rsidRPr="009B645E">
        <w:rPr>
          <w:sz w:val="22"/>
          <w:szCs w:val="22"/>
        </w:rPr>
        <w:t xml:space="preserve">, Majority Committee Staff Report 2 (Sept. 18, 2014), </w:t>
      </w:r>
      <w:hyperlink r:id="rId1" w:history="1">
        <w:r w:rsidRPr="009B645E">
          <w:rPr>
            <w:rStyle w:val="Hyperlink"/>
            <w:sz w:val="22"/>
            <w:szCs w:val="22"/>
          </w:rPr>
          <w:t>http://www.help.senate.gov/imo/media/doc/HELP%20Committee%20Disability%20and%20Poverty%20Report.pdf</w:t>
        </w:r>
      </w:hyperlink>
      <w:r w:rsidRPr="009B645E">
        <w:rPr>
          <w:sz w:val="22"/>
          <w:szCs w:val="22"/>
        </w:rPr>
        <w:t xml:space="preserve"> (citing Bureau of Labor Statistics data).</w:t>
      </w:r>
    </w:p>
    <w:p w:rsidR="009B645E" w:rsidRPr="009B645E" w:rsidRDefault="009B645E" w:rsidP="009B645E">
      <w:pPr>
        <w:pStyle w:val="FootnoteText"/>
        <w:rPr>
          <w:rFonts w:ascii="Times New Roman" w:hAnsi="Times New Roman"/>
          <w:sz w:val="22"/>
          <w:szCs w:val="22"/>
        </w:rPr>
      </w:pPr>
      <w:r w:rsidRPr="009B645E">
        <w:rPr>
          <w:rFonts w:ascii="Times New Roman" w:hAnsi="Times New Roman"/>
          <w:color w:val="000000"/>
          <w:sz w:val="22"/>
          <w:szCs w:val="22"/>
        </w:rPr>
        <w:t xml:space="preserve"> </w:t>
      </w:r>
    </w:p>
  </w:footnote>
  <w:footnote w:id="2">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Id</w:t>
      </w:r>
      <w:r w:rsidRPr="009B645E">
        <w:rPr>
          <w:rFonts w:ascii="Times New Roman" w:hAnsi="Times New Roman"/>
          <w:sz w:val="22"/>
          <w:szCs w:val="22"/>
        </w:rPr>
        <w:t>. at 6.</w:t>
      </w:r>
    </w:p>
    <w:p w:rsidR="009B645E" w:rsidRPr="009B645E" w:rsidRDefault="009B645E" w:rsidP="009B645E">
      <w:pPr>
        <w:pStyle w:val="FootnoteText"/>
        <w:rPr>
          <w:rFonts w:ascii="Times New Roman" w:hAnsi="Times New Roman"/>
          <w:sz w:val="22"/>
          <w:szCs w:val="22"/>
        </w:rPr>
      </w:pPr>
    </w:p>
  </w:footnote>
  <w:footnote w:id="3">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42 U.S.C. §§ 12112(d</w:t>
      </w:r>
      <w:proofErr w:type="gramStart"/>
      <w:r w:rsidRPr="009B645E">
        <w:rPr>
          <w:rFonts w:ascii="Times New Roman" w:hAnsi="Times New Roman"/>
          <w:sz w:val="22"/>
          <w:szCs w:val="22"/>
        </w:rPr>
        <w:t>)(</w:t>
      </w:r>
      <w:proofErr w:type="gramEnd"/>
      <w:r w:rsidRPr="009B645E">
        <w:rPr>
          <w:rFonts w:ascii="Times New Roman" w:hAnsi="Times New Roman"/>
          <w:sz w:val="22"/>
          <w:szCs w:val="22"/>
        </w:rPr>
        <w:t xml:space="preserve">4)(A), (d)(4)(B).  </w:t>
      </w:r>
      <w:r w:rsidRPr="009B645E">
        <w:rPr>
          <w:rFonts w:ascii="Times New Roman" w:hAnsi="Times New Roman"/>
          <w:i/>
          <w:sz w:val="22"/>
          <w:szCs w:val="22"/>
        </w:rPr>
        <w:t>See also</w:t>
      </w:r>
      <w:r w:rsidRPr="009B645E">
        <w:rPr>
          <w:rFonts w:ascii="Times New Roman" w:hAnsi="Times New Roman"/>
          <w:sz w:val="22"/>
          <w:szCs w:val="22"/>
        </w:rPr>
        <w:t xml:space="preserve"> </w:t>
      </w:r>
      <w:r w:rsidRPr="009B645E">
        <w:rPr>
          <w:rFonts w:ascii="Times New Roman" w:hAnsi="Times New Roman"/>
          <w:i/>
          <w:sz w:val="22"/>
          <w:szCs w:val="22"/>
        </w:rPr>
        <w:t>EEOC</w:t>
      </w:r>
      <w:r w:rsidRPr="009B645E">
        <w:rPr>
          <w:rFonts w:ascii="Times New Roman" w:hAnsi="Times New Roman"/>
          <w:sz w:val="22"/>
          <w:szCs w:val="22"/>
        </w:rPr>
        <w:t xml:space="preserve"> </w:t>
      </w:r>
      <w:r w:rsidRPr="009B645E">
        <w:rPr>
          <w:rFonts w:ascii="Times New Roman" w:hAnsi="Times New Roman"/>
          <w:i/>
          <w:sz w:val="22"/>
          <w:szCs w:val="22"/>
        </w:rPr>
        <w:t xml:space="preserve">Enforcement Guidance on Disability-Related Inquiries and Medical Examinations of Employees </w:t>
      </w:r>
      <w:proofErr w:type="gramStart"/>
      <w:r w:rsidRPr="009B645E">
        <w:rPr>
          <w:rFonts w:ascii="Times New Roman" w:hAnsi="Times New Roman"/>
          <w:i/>
          <w:sz w:val="22"/>
          <w:szCs w:val="22"/>
        </w:rPr>
        <w:t>Under</w:t>
      </w:r>
      <w:proofErr w:type="gramEnd"/>
      <w:r w:rsidRPr="009B645E">
        <w:rPr>
          <w:rFonts w:ascii="Times New Roman" w:hAnsi="Times New Roman"/>
          <w:i/>
          <w:sz w:val="22"/>
          <w:szCs w:val="22"/>
        </w:rPr>
        <w:t xml:space="preserve"> the Americans with Disabilities Act</w:t>
      </w:r>
      <w:r w:rsidRPr="009B645E">
        <w:rPr>
          <w:rFonts w:ascii="Times New Roman" w:hAnsi="Times New Roman"/>
          <w:sz w:val="22"/>
          <w:szCs w:val="22"/>
        </w:rPr>
        <w:t xml:space="preserve"> (July 27, 2000) at Question 22, </w:t>
      </w:r>
      <w:hyperlink r:id="rId2" w:history="1">
        <w:r w:rsidRPr="009B645E">
          <w:rPr>
            <w:rStyle w:val="Hyperlink"/>
            <w:rFonts w:ascii="Times New Roman" w:hAnsi="Times New Roman"/>
            <w:sz w:val="22"/>
            <w:szCs w:val="22"/>
          </w:rPr>
          <w:t>http://www.eeoc.gov/policy/docs/guidance-inquiries.html</w:t>
        </w:r>
      </w:hyperlink>
      <w:r w:rsidRPr="009B645E">
        <w:rPr>
          <w:rFonts w:ascii="Times New Roman" w:hAnsi="Times New Roman"/>
          <w:sz w:val="22"/>
          <w:szCs w:val="22"/>
        </w:rPr>
        <w:t xml:space="preserve"> (“EEOC Guidance”).</w:t>
      </w:r>
    </w:p>
    <w:p w:rsidR="009B645E" w:rsidRPr="009B645E" w:rsidRDefault="009B645E" w:rsidP="009B645E">
      <w:pPr>
        <w:pStyle w:val="FootnoteText"/>
        <w:rPr>
          <w:rFonts w:ascii="Times New Roman" w:hAnsi="Times New Roman"/>
          <w:sz w:val="22"/>
          <w:szCs w:val="22"/>
        </w:rPr>
      </w:pPr>
    </w:p>
  </w:footnote>
  <w:footnote w:id="4">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EEOC Guidance</w:t>
      </w:r>
      <w:r w:rsidRPr="009B645E">
        <w:rPr>
          <w:rFonts w:ascii="Times New Roman" w:hAnsi="Times New Roman"/>
          <w:sz w:val="22"/>
          <w:szCs w:val="22"/>
        </w:rPr>
        <w:t>, Question 22.  While the guidance speaks of “voluntary wellness programs” rather than “voluntary medical inquiries” or “voluntary medical examinations,” it construes the ADA’s text relating to “voluntary medical examinations, including voluntary medical histories” that are part of an employee health program.  It is clear that the guidance refers to penalties for answering questions or undergoing medical exams.</w:t>
      </w:r>
    </w:p>
    <w:p w:rsidR="009B645E" w:rsidRPr="009B645E" w:rsidRDefault="009B645E" w:rsidP="009B645E">
      <w:pPr>
        <w:pStyle w:val="FootnoteText"/>
        <w:rPr>
          <w:rFonts w:ascii="Times New Roman" w:hAnsi="Times New Roman"/>
          <w:sz w:val="22"/>
          <w:szCs w:val="22"/>
        </w:rPr>
      </w:pPr>
    </w:p>
  </w:footnote>
  <w:footnote w:id="5">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Letter of October 9, 2009 from Stuart J. </w:t>
      </w:r>
      <w:proofErr w:type="spellStart"/>
      <w:r w:rsidRPr="009B645E">
        <w:rPr>
          <w:rFonts w:ascii="Times New Roman" w:hAnsi="Times New Roman"/>
          <w:sz w:val="22"/>
          <w:szCs w:val="22"/>
        </w:rPr>
        <w:t>Ishimaru</w:t>
      </w:r>
      <w:proofErr w:type="spellEnd"/>
      <w:r w:rsidRPr="009B645E">
        <w:rPr>
          <w:rFonts w:ascii="Times New Roman" w:hAnsi="Times New Roman"/>
          <w:sz w:val="22"/>
          <w:szCs w:val="22"/>
        </w:rPr>
        <w:t xml:space="preserve">, Acting Chair, EEOC, and Christine M. Griffin, Acting Vice Chair, to Nancy Ann </w:t>
      </w:r>
      <w:proofErr w:type="spellStart"/>
      <w:r w:rsidRPr="009B645E">
        <w:rPr>
          <w:rFonts w:ascii="Times New Roman" w:hAnsi="Times New Roman"/>
          <w:sz w:val="22"/>
          <w:szCs w:val="22"/>
        </w:rPr>
        <w:t>DeParle</w:t>
      </w:r>
      <w:proofErr w:type="spellEnd"/>
      <w:r w:rsidRPr="009B645E">
        <w:rPr>
          <w:rFonts w:ascii="Times New Roman" w:hAnsi="Times New Roman"/>
          <w:sz w:val="22"/>
          <w:szCs w:val="22"/>
        </w:rPr>
        <w:t xml:space="preserve">, Director, White House Office of Health Reform. </w:t>
      </w:r>
    </w:p>
    <w:p w:rsidR="009B645E" w:rsidRPr="009B645E" w:rsidRDefault="009B645E" w:rsidP="009B645E">
      <w:pPr>
        <w:pStyle w:val="FootnoteText"/>
        <w:rPr>
          <w:rFonts w:ascii="Times New Roman" w:hAnsi="Times New Roman"/>
          <w:sz w:val="22"/>
          <w:szCs w:val="22"/>
        </w:rPr>
      </w:pPr>
    </w:p>
  </w:footnote>
  <w:footnote w:id="6">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EEOC Guidance</w:t>
      </w:r>
      <w:r w:rsidRPr="009B645E">
        <w:rPr>
          <w:rFonts w:ascii="Times New Roman" w:hAnsi="Times New Roman"/>
          <w:sz w:val="22"/>
          <w:szCs w:val="22"/>
        </w:rPr>
        <w:t>, General Principles.</w:t>
      </w:r>
    </w:p>
    <w:p w:rsidR="009B645E" w:rsidRPr="009B645E" w:rsidRDefault="009B645E" w:rsidP="009B645E">
      <w:pPr>
        <w:pStyle w:val="FootnoteText"/>
        <w:rPr>
          <w:rFonts w:ascii="Times New Roman" w:hAnsi="Times New Roman"/>
          <w:sz w:val="22"/>
          <w:szCs w:val="22"/>
        </w:rPr>
      </w:pPr>
    </w:p>
  </w:footnote>
  <w:footnote w:id="7">
    <w:p w:rsidR="009B645E" w:rsidRPr="009B645E" w:rsidRDefault="009B645E" w:rsidP="009B645E">
      <w:pPr>
        <w:autoSpaceDE w:val="0"/>
        <w:autoSpaceDN w:val="0"/>
        <w:adjustRightInd w:val="0"/>
        <w:rPr>
          <w:rFonts w:ascii="Times New Roman" w:hAnsi="Times New Roman"/>
        </w:rPr>
      </w:pPr>
      <w:r w:rsidRPr="009B645E">
        <w:rPr>
          <w:rStyle w:val="FootnoteReference"/>
          <w:rFonts w:ascii="Times New Roman" w:hAnsi="Times New Roman"/>
        </w:rPr>
        <w:footnoteRef/>
      </w:r>
      <w:r w:rsidRPr="009B645E">
        <w:rPr>
          <w:rFonts w:ascii="Times New Roman" w:hAnsi="Times New Roman"/>
        </w:rPr>
        <w:t xml:space="preserve"> The proposed rule applies to “incentives” that may take the form of either rewards or penalties. 80 Fed. Reg. 21660. The Affordable Care Act and its implementing regulations also treat wellness program penalties and rewards as the same.  42 U.S.C. § 300gg-4(j</w:t>
      </w:r>
      <w:proofErr w:type="gramStart"/>
      <w:r w:rsidRPr="009B645E">
        <w:rPr>
          <w:rFonts w:ascii="Times New Roman" w:hAnsi="Times New Roman"/>
        </w:rPr>
        <w:t>)(</w:t>
      </w:r>
      <w:proofErr w:type="gramEnd"/>
      <w:r w:rsidRPr="009B645E">
        <w:rPr>
          <w:rFonts w:ascii="Times New Roman" w:hAnsi="Times New Roman"/>
        </w:rPr>
        <w:t xml:space="preserve">3)(A) (defining “rewards” to include “the absence of a surcharge, or the value of a benefit that would otherwise not be provided under the plan”);   </w:t>
      </w:r>
      <w:r w:rsidRPr="009B645E">
        <w:rPr>
          <w:rFonts w:ascii="Times New Roman" w:hAnsi="Times New Roman"/>
          <w:i/>
        </w:rPr>
        <w:t>Final Rule, Incentives for Nondiscriminatory Wellness Programs in Group Health Plans</w:t>
      </w:r>
      <w:r w:rsidRPr="009B645E">
        <w:rPr>
          <w:rFonts w:ascii="Times New Roman" w:hAnsi="Times New Roman"/>
        </w:rPr>
        <w:t xml:space="preserve">, 78 Fed. Reg. 33158, 33160 (June 3, 2013) (“References in the final regulations to a plan providing a reward include both providing a reward (such as a discount or rebate of a premium or contribution, a waiver of all or part of a cost-sharing mechanism, an additional benefit, or any financial or other incentive) and imposing a penalty (such as a surcharge or other financial or nonfinancial disincentive).”).  This makes sense, as employees who choose to forego a financial inducement to participate are effectively penalized financially for not participating. </w:t>
      </w:r>
    </w:p>
    <w:p w:rsidR="009B645E" w:rsidRPr="009B645E" w:rsidRDefault="009B645E" w:rsidP="009B645E">
      <w:pPr>
        <w:pStyle w:val="FootnoteText"/>
        <w:rPr>
          <w:rFonts w:ascii="Times New Roman" w:hAnsi="Times New Roman"/>
          <w:sz w:val="22"/>
          <w:szCs w:val="22"/>
        </w:rPr>
      </w:pPr>
    </w:p>
  </w:footnote>
  <w:footnote w:id="8">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42 U.S.C. § 12114(d</w:t>
      </w:r>
      <w:proofErr w:type="gramStart"/>
      <w:r w:rsidRPr="009B645E">
        <w:rPr>
          <w:rFonts w:ascii="Times New Roman" w:hAnsi="Times New Roman"/>
          <w:sz w:val="22"/>
          <w:szCs w:val="22"/>
        </w:rPr>
        <w:t>)(</w:t>
      </w:r>
      <w:proofErr w:type="gramEnd"/>
      <w:r w:rsidRPr="009B645E">
        <w:rPr>
          <w:rFonts w:ascii="Times New Roman" w:hAnsi="Times New Roman"/>
          <w:sz w:val="22"/>
          <w:szCs w:val="22"/>
        </w:rPr>
        <w:t>A), (d)(B).</w:t>
      </w:r>
    </w:p>
    <w:p w:rsidR="009B645E" w:rsidRPr="009B645E" w:rsidRDefault="009B645E" w:rsidP="009B645E">
      <w:pPr>
        <w:pStyle w:val="FootnoteText"/>
        <w:rPr>
          <w:rFonts w:ascii="Times New Roman" w:hAnsi="Times New Roman"/>
          <w:sz w:val="22"/>
          <w:szCs w:val="22"/>
        </w:rPr>
      </w:pPr>
    </w:p>
  </w:footnote>
  <w:footnote w:id="9">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EEOC Guidance</w:t>
      </w:r>
      <w:r w:rsidRPr="009B645E">
        <w:rPr>
          <w:rFonts w:ascii="Times New Roman" w:hAnsi="Times New Roman"/>
          <w:sz w:val="22"/>
          <w:szCs w:val="22"/>
        </w:rPr>
        <w:t xml:space="preserve">, Question 22.  </w:t>
      </w:r>
    </w:p>
    <w:p w:rsidR="009B645E" w:rsidRPr="009B645E" w:rsidRDefault="009B645E" w:rsidP="009B645E">
      <w:pPr>
        <w:pStyle w:val="FootnoteText"/>
        <w:rPr>
          <w:rFonts w:ascii="Times New Roman" w:hAnsi="Times New Roman"/>
          <w:sz w:val="22"/>
          <w:szCs w:val="22"/>
        </w:rPr>
      </w:pPr>
    </w:p>
  </w:footnote>
  <w:footnote w:id="10">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The Kaiser Family Foundation and Health Research &amp; Educational Trust, </w:t>
      </w:r>
      <w:r w:rsidRPr="009B645E">
        <w:rPr>
          <w:rFonts w:ascii="Times New Roman" w:hAnsi="Times New Roman"/>
          <w:i/>
          <w:sz w:val="22"/>
          <w:szCs w:val="22"/>
        </w:rPr>
        <w:t xml:space="preserve">2014 Employer Health Benefits Survey </w:t>
      </w:r>
      <w:r w:rsidRPr="009B645E">
        <w:rPr>
          <w:rFonts w:ascii="Times New Roman" w:hAnsi="Times New Roman"/>
          <w:sz w:val="22"/>
          <w:szCs w:val="22"/>
        </w:rPr>
        <w:t>(Sept. 12, 2014</w:t>
      </w:r>
      <w:r w:rsidRPr="009B645E">
        <w:rPr>
          <w:rFonts w:ascii="Times New Roman" w:hAnsi="Times New Roman"/>
          <w:i/>
          <w:sz w:val="22"/>
          <w:szCs w:val="22"/>
        </w:rPr>
        <w:t>)</w:t>
      </w:r>
      <w:r w:rsidRPr="009B645E">
        <w:rPr>
          <w:rFonts w:ascii="Times New Roman" w:hAnsi="Times New Roman"/>
          <w:sz w:val="22"/>
          <w:szCs w:val="22"/>
        </w:rPr>
        <w:t xml:space="preserve">, at 1-2, </w:t>
      </w:r>
      <w:hyperlink r:id="rId3" w:history="1">
        <w:r w:rsidRPr="009B645E">
          <w:rPr>
            <w:rStyle w:val="Hyperlink"/>
            <w:rFonts w:ascii="Times New Roman" w:hAnsi="Times New Roman"/>
            <w:sz w:val="22"/>
            <w:szCs w:val="22"/>
          </w:rPr>
          <w:t>http://kff.org/report-section/ehbs-2014-section-one-cost-of-health-insurance</w:t>
        </w:r>
      </w:hyperlink>
      <w:r w:rsidRPr="009B645E">
        <w:rPr>
          <w:rFonts w:ascii="Times New Roman" w:hAnsi="Times New Roman"/>
          <w:sz w:val="22"/>
          <w:szCs w:val="22"/>
        </w:rPr>
        <w:t>.</w:t>
      </w:r>
    </w:p>
    <w:p w:rsidR="009B645E" w:rsidRPr="009B645E" w:rsidRDefault="009B645E" w:rsidP="009B645E">
      <w:pPr>
        <w:pStyle w:val="FootnoteText"/>
        <w:rPr>
          <w:rFonts w:ascii="Times New Roman" w:hAnsi="Times New Roman"/>
          <w:sz w:val="22"/>
          <w:szCs w:val="22"/>
        </w:rPr>
      </w:pPr>
    </w:p>
  </w:footnote>
  <w:footnote w:id="11">
    <w:p w:rsidR="009B645E" w:rsidRPr="009B645E" w:rsidRDefault="009B645E" w:rsidP="009B645E">
      <w:pPr>
        <w:pStyle w:val="FootnoteText"/>
        <w:spacing w:after="120"/>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Id</w:t>
      </w:r>
      <w:r w:rsidRPr="009B645E">
        <w:rPr>
          <w:rFonts w:ascii="Times New Roman" w:hAnsi="Times New Roman"/>
          <w:sz w:val="22"/>
          <w:szCs w:val="22"/>
        </w:rPr>
        <w:t xml:space="preserve">. at 1-2 &amp; </w:t>
      </w:r>
      <w:proofErr w:type="spellStart"/>
      <w:r w:rsidRPr="009B645E">
        <w:rPr>
          <w:rFonts w:ascii="Times New Roman" w:hAnsi="Times New Roman"/>
          <w:sz w:val="22"/>
          <w:szCs w:val="22"/>
        </w:rPr>
        <w:t>Exh</w:t>
      </w:r>
      <w:proofErr w:type="spellEnd"/>
      <w:r w:rsidRPr="009B645E">
        <w:rPr>
          <w:rFonts w:ascii="Times New Roman" w:hAnsi="Times New Roman"/>
          <w:sz w:val="22"/>
          <w:szCs w:val="22"/>
        </w:rPr>
        <w:t xml:space="preserve">. B.  </w:t>
      </w:r>
    </w:p>
  </w:footnote>
  <w:footnote w:id="12">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29 C.F.R. § 1635.8(b</w:t>
      </w:r>
      <w:proofErr w:type="gramStart"/>
      <w:r w:rsidRPr="009B645E">
        <w:rPr>
          <w:rFonts w:ascii="Times New Roman" w:hAnsi="Times New Roman"/>
          <w:sz w:val="22"/>
          <w:szCs w:val="22"/>
        </w:rPr>
        <w:t>)(</w:t>
      </w:r>
      <w:proofErr w:type="gramEnd"/>
      <w:r w:rsidRPr="009B645E">
        <w:rPr>
          <w:rFonts w:ascii="Times New Roman" w:hAnsi="Times New Roman"/>
          <w:sz w:val="22"/>
          <w:szCs w:val="22"/>
        </w:rPr>
        <w:t>2).</w:t>
      </w:r>
    </w:p>
    <w:p w:rsidR="009B645E" w:rsidRPr="009B645E" w:rsidRDefault="009B645E" w:rsidP="009B645E">
      <w:pPr>
        <w:pStyle w:val="FootnoteText"/>
        <w:rPr>
          <w:rFonts w:ascii="Times New Roman" w:hAnsi="Times New Roman"/>
          <w:sz w:val="22"/>
          <w:szCs w:val="22"/>
        </w:rPr>
      </w:pPr>
    </w:p>
  </w:footnote>
  <w:footnote w:id="13">
    <w:p w:rsidR="009B645E" w:rsidRPr="009B645E" w:rsidRDefault="009B645E" w:rsidP="009B645E">
      <w:pPr>
        <w:rPr>
          <w:rFonts w:ascii="Times New Roman" w:hAnsi="Times New Roman"/>
        </w:rPr>
      </w:pPr>
      <w:r w:rsidRPr="009B645E">
        <w:rPr>
          <w:rStyle w:val="FootnoteReference"/>
          <w:rFonts w:ascii="Times New Roman" w:hAnsi="Times New Roman"/>
        </w:rPr>
        <w:footnoteRef/>
      </w:r>
      <w:r w:rsidRPr="009B645E">
        <w:rPr>
          <w:rFonts w:ascii="Times New Roman" w:hAnsi="Times New Roman"/>
        </w:rPr>
        <w:t xml:space="preserve"> </w:t>
      </w:r>
      <w:r w:rsidRPr="009B645E">
        <w:rPr>
          <w:rFonts w:ascii="Times New Roman" w:hAnsi="Times New Roman"/>
          <w:i/>
        </w:rPr>
        <w:t>Id</w:t>
      </w:r>
      <w:r w:rsidRPr="009B645E">
        <w:rPr>
          <w:rFonts w:ascii="Times New Roman" w:hAnsi="Times New Roman"/>
        </w:rPr>
        <w:t>. § 1635.8(b</w:t>
      </w:r>
      <w:proofErr w:type="gramStart"/>
      <w:r w:rsidRPr="009B645E">
        <w:rPr>
          <w:rFonts w:ascii="Times New Roman" w:hAnsi="Times New Roman"/>
        </w:rPr>
        <w:t>)(</w:t>
      </w:r>
      <w:proofErr w:type="gramEnd"/>
      <w:r w:rsidRPr="009B645E">
        <w:rPr>
          <w:rFonts w:ascii="Times New Roman" w:hAnsi="Times New Roman"/>
        </w:rPr>
        <w:t>2)(</w:t>
      </w:r>
      <w:proofErr w:type="spellStart"/>
      <w:r w:rsidRPr="009B645E">
        <w:rPr>
          <w:rFonts w:ascii="Times New Roman" w:hAnsi="Times New Roman"/>
        </w:rPr>
        <w:t>i</w:t>
      </w:r>
      <w:proofErr w:type="spellEnd"/>
      <w:r w:rsidRPr="009B645E">
        <w:rPr>
          <w:rFonts w:ascii="Times New Roman" w:hAnsi="Times New Roman"/>
        </w:rPr>
        <w:t>)(A) (emphasis added).</w:t>
      </w:r>
      <w:r w:rsidRPr="009B645E" w:rsidDel="00314817">
        <w:rPr>
          <w:rFonts w:ascii="Times New Roman" w:hAnsi="Times New Roman"/>
        </w:rPr>
        <w:t xml:space="preserve"> </w:t>
      </w:r>
    </w:p>
  </w:footnote>
  <w:footnote w:id="14">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Id</w:t>
      </w:r>
      <w:r w:rsidRPr="009B645E">
        <w:rPr>
          <w:rFonts w:ascii="Times New Roman" w:hAnsi="Times New Roman"/>
          <w:sz w:val="22"/>
          <w:szCs w:val="22"/>
        </w:rPr>
        <w:t>. § 1635.8(b</w:t>
      </w:r>
      <w:proofErr w:type="gramStart"/>
      <w:r w:rsidRPr="009B645E">
        <w:rPr>
          <w:rFonts w:ascii="Times New Roman" w:hAnsi="Times New Roman"/>
          <w:sz w:val="22"/>
          <w:szCs w:val="22"/>
        </w:rPr>
        <w:t>)(</w:t>
      </w:r>
      <w:proofErr w:type="gramEnd"/>
      <w:r w:rsidRPr="009B645E">
        <w:rPr>
          <w:rFonts w:ascii="Times New Roman" w:hAnsi="Times New Roman"/>
          <w:sz w:val="22"/>
          <w:szCs w:val="22"/>
        </w:rPr>
        <w:t xml:space="preserve">2).  </w:t>
      </w:r>
    </w:p>
    <w:p w:rsidR="009B645E" w:rsidRPr="009B645E" w:rsidRDefault="009B645E" w:rsidP="009B645E">
      <w:pPr>
        <w:pStyle w:val="FootnoteText"/>
        <w:rPr>
          <w:rFonts w:ascii="Times New Roman" w:hAnsi="Times New Roman"/>
          <w:sz w:val="22"/>
          <w:szCs w:val="22"/>
        </w:rPr>
      </w:pPr>
    </w:p>
  </w:footnote>
  <w:footnote w:id="15">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Just as this rule is feasible under GINA because not all health risk assessment questions seek genetic information, the same is true under the ADA, since not all health risk assessment questions seek disability-related information.  For example, typical HRAs may ask questions about whether a person uses sunscreen, eats whole grain foods, wears a seatbelt, exercises, watches television, drives within the speed limit, takes precautions to avoid workplace accidents, wears hats, avoids tanning booths and sunlamps, attends plays and concerts, and many other questions that do not relate to whether the person has a disability.</w:t>
      </w:r>
    </w:p>
  </w:footnote>
  <w:footnote w:id="16">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42 U.S.C. § 300gg-4(j</w:t>
      </w:r>
      <w:proofErr w:type="gramStart"/>
      <w:r w:rsidRPr="009B645E">
        <w:rPr>
          <w:rFonts w:ascii="Times New Roman" w:hAnsi="Times New Roman"/>
          <w:sz w:val="22"/>
          <w:szCs w:val="22"/>
        </w:rPr>
        <w:t>)(</w:t>
      </w:r>
      <w:proofErr w:type="gramEnd"/>
      <w:r w:rsidRPr="009B645E">
        <w:rPr>
          <w:rFonts w:ascii="Times New Roman" w:hAnsi="Times New Roman"/>
          <w:sz w:val="22"/>
          <w:szCs w:val="22"/>
        </w:rPr>
        <w:t>3)(A).</w:t>
      </w:r>
    </w:p>
    <w:p w:rsidR="009B645E" w:rsidRPr="009B645E" w:rsidRDefault="009B645E" w:rsidP="009B645E">
      <w:pPr>
        <w:pStyle w:val="FootnoteText"/>
        <w:rPr>
          <w:rFonts w:ascii="Times New Roman" w:hAnsi="Times New Roman"/>
          <w:sz w:val="22"/>
          <w:szCs w:val="22"/>
        </w:rPr>
      </w:pPr>
    </w:p>
  </w:footnote>
  <w:footnote w:id="17">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Id</w:t>
      </w:r>
      <w:r w:rsidRPr="009B645E">
        <w:rPr>
          <w:rFonts w:ascii="Times New Roman" w:hAnsi="Times New Roman"/>
          <w:sz w:val="22"/>
          <w:szCs w:val="22"/>
        </w:rPr>
        <w:t>.</w:t>
      </w:r>
    </w:p>
    <w:p w:rsidR="009B645E" w:rsidRPr="009B645E" w:rsidRDefault="009B645E" w:rsidP="009B645E">
      <w:pPr>
        <w:pStyle w:val="FootnoteText"/>
        <w:rPr>
          <w:rFonts w:ascii="Times New Roman" w:hAnsi="Times New Roman"/>
          <w:sz w:val="22"/>
          <w:szCs w:val="22"/>
        </w:rPr>
      </w:pPr>
    </w:p>
  </w:footnote>
  <w:footnote w:id="18">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26 C.F.R. § 54.9802-1(f</w:t>
      </w:r>
      <w:proofErr w:type="gramStart"/>
      <w:r w:rsidRPr="009B645E">
        <w:rPr>
          <w:rFonts w:ascii="Times New Roman" w:hAnsi="Times New Roman"/>
          <w:sz w:val="22"/>
          <w:szCs w:val="22"/>
        </w:rPr>
        <w:t>)(</w:t>
      </w:r>
      <w:proofErr w:type="gramEnd"/>
      <w:r w:rsidRPr="009B645E">
        <w:rPr>
          <w:rFonts w:ascii="Times New Roman" w:hAnsi="Times New Roman"/>
          <w:sz w:val="22"/>
          <w:szCs w:val="22"/>
        </w:rPr>
        <w:t>5).</w:t>
      </w:r>
    </w:p>
    <w:p w:rsidR="009B645E" w:rsidRPr="009B645E" w:rsidRDefault="009B645E" w:rsidP="009B645E">
      <w:pPr>
        <w:pStyle w:val="FootnoteText"/>
        <w:rPr>
          <w:rFonts w:ascii="Times New Roman" w:hAnsi="Times New Roman"/>
          <w:sz w:val="22"/>
          <w:szCs w:val="22"/>
        </w:rPr>
      </w:pPr>
    </w:p>
  </w:footnote>
  <w:footnote w:id="19">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 xml:space="preserve">See </w:t>
      </w:r>
      <w:r w:rsidRPr="009B645E">
        <w:rPr>
          <w:rFonts w:ascii="Times New Roman" w:hAnsi="Times New Roman"/>
          <w:sz w:val="22"/>
          <w:szCs w:val="22"/>
        </w:rPr>
        <w:t>71 Fed. Reg. 75014, 75015 (2006).</w:t>
      </w:r>
    </w:p>
    <w:p w:rsidR="009B645E" w:rsidRPr="009B645E" w:rsidRDefault="009B645E" w:rsidP="009B645E">
      <w:pPr>
        <w:pStyle w:val="FootnoteText"/>
        <w:rPr>
          <w:rFonts w:ascii="Times New Roman" w:hAnsi="Times New Roman"/>
          <w:sz w:val="22"/>
          <w:szCs w:val="22"/>
        </w:rPr>
      </w:pPr>
    </w:p>
  </w:footnote>
  <w:footnote w:id="20">
    <w:p w:rsid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78 Fed. Reg. 33158, 33165 (emphasis added).</w:t>
      </w:r>
    </w:p>
    <w:p w:rsidR="009B645E" w:rsidRPr="009B645E" w:rsidRDefault="009B645E" w:rsidP="009B645E">
      <w:pPr>
        <w:pStyle w:val="FootnoteText"/>
        <w:rPr>
          <w:rFonts w:ascii="Times New Roman" w:hAnsi="Times New Roman"/>
          <w:sz w:val="22"/>
          <w:szCs w:val="22"/>
        </w:rPr>
      </w:pPr>
    </w:p>
  </w:footnote>
  <w:footnote w:id="21">
    <w:p w:rsidR="009B645E" w:rsidRPr="009B645E" w:rsidRDefault="009B645E" w:rsidP="009B645E">
      <w:pPr>
        <w:autoSpaceDE w:val="0"/>
        <w:autoSpaceDN w:val="0"/>
        <w:adjustRightInd w:val="0"/>
        <w:rPr>
          <w:rFonts w:ascii="Times New Roman" w:hAnsi="Times New Roman"/>
        </w:rPr>
      </w:pPr>
      <w:r w:rsidRPr="009B645E">
        <w:rPr>
          <w:rStyle w:val="FootnoteReference"/>
          <w:rFonts w:ascii="Times New Roman" w:hAnsi="Times New Roman"/>
        </w:rPr>
        <w:footnoteRef/>
      </w:r>
      <w:r w:rsidRPr="009B645E">
        <w:rPr>
          <w:rFonts w:ascii="Times New Roman" w:hAnsi="Times New Roman"/>
        </w:rPr>
        <w:t xml:space="preserve"> </w:t>
      </w:r>
      <w:r w:rsidRPr="009B645E">
        <w:rPr>
          <w:rFonts w:ascii="Times New Roman" w:hAnsi="Times New Roman"/>
          <w:i/>
        </w:rPr>
        <w:t>Id</w:t>
      </w:r>
      <w:r w:rsidRPr="009B645E">
        <w:rPr>
          <w:rFonts w:ascii="Times New Roman" w:hAnsi="Times New Roman"/>
        </w:rPr>
        <w:t xml:space="preserve">. at 33168 (emphasis added). </w:t>
      </w:r>
    </w:p>
  </w:footnote>
  <w:footnote w:id="22">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Since its passage in 1996, HIPAA has barred discrimination by group health plans in coverage and premiums “based on” one of eight “health status-related factors,” including “health status,” “medical condition” (including both physical and mental illnesses), and “disability.” Public Law 104-191 (Aug. 21, 1996). The ACA expanded these HIPAA non-discrimination protections to include individual health insurance plans. </w:t>
      </w:r>
      <w:r w:rsidRPr="009B645E">
        <w:rPr>
          <w:rFonts w:ascii="Times New Roman" w:hAnsi="Times New Roman"/>
          <w:i/>
          <w:sz w:val="22"/>
          <w:szCs w:val="22"/>
        </w:rPr>
        <w:t>See</w:t>
      </w:r>
      <w:r w:rsidRPr="009B645E">
        <w:rPr>
          <w:rFonts w:ascii="Times New Roman" w:hAnsi="Times New Roman"/>
          <w:sz w:val="22"/>
          <w:szCs w:val="22"/>
        </w:rPr>
        <w:t xml:space="preserve"> Public Law 111-148 (Mar. 23, 2010), § 2705(a); 42 U.S.C. § 300gg-4(a).</w:t>
      </w:r>
    </w:p>
    <w:p w:rsidR="009B645E" w:rsidRPr="009B645E" w:rsidRDefault="009B645E" w:rsidP="009B645E">
      <w:pPr>
        <w:pStyle w:val="FootnoteText"/>
        <w:rPr>
          <w:rFonts w:ascii="Times New Roman" w:hAnsi="Times New Roman"/>
          <w:sz w:val="22"/>
          <w:szCs w:val="22"/>
        </w:rPr>
      </w:pPr>
    </w:p>
  </w:footnote>
  <w:footnote w:id="23">
    <w:p w:rsid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w:t>
      </w:r>
      <w:r w:rsidRPr="009B645E">
        <w:rPr>
          <w:rFonts w:ascii="Times New Roman" w:hAnsi="Times New Roman"/>
          <w:i/>
          <w:sz w:val="22"/>
          <w:szCs w:val="22"/>
        </w:rPr>
        <w:t xml:space="preserve">Morton v. </w:t>
      </w:r>
      <w:proofErr w:type="spellStart"/>
      <w:r w:rsidRPr="009B645E">
        <w:rPr>
          <w:rFonts w:ascii="Times New Roman" w:hAnsi="Times New Roman"/>
          <w:i/>
          <w:sz w:val="22"/>
          <w:szCs w:val="22"/>
        </w:rPr>
        <w:t>Mancari</w:t>
      </w:r>
      <w:proofErr w:type="spellEnd"/>
      <w:r w:rsidRPr="009B645E">
        <w:rPr>
          <w:rFonts w:ascii="Times New Roman" w:hAnsi="Times New Roman"/>
          <w:sz w:val="22"/>
          <w:szCs w:val="22"/>
        </w:rPr>
        <w:t xml:space="preserve">, 417 U.S. at 550-51.  </w:t>
      </w:r>
    </w:p>
    <w:p w:rsidR="009B645E" w:rsidRPr="009B645E" w:rsidRDefault="009B645E" w:rsidP="009B645E">
      <w:pPr>
        <w:pStyle w:val="FootnoteText"/>
        <w:rPr>
          <w:rFonts w:ascii="Times New Roman" w:hAnsi="Times New Roman"/>
          <w:sz w:val="22"/>
          <w:szCs w:val="22"/>
        </w:rPr>
      </w:pPr>
    </w:p>
  </w:footnote>
  <w:footnote w:id="24">
    <w:p w:rsidR="009B645E" w:rsidRPr="009B645E" w:rsidRDefault="009B645E" w:rsidP="009B645E">
      <w:pPr>
        <w:pStyle w:val="FootnoteText"/>
        <w:rPr>
          <w:rFonts w:ascii="Times New Roman" w:hAnsi="Times New Roman"/>
          <w:sz w:val="22"/>
          <w:szCs w:val="22"/>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Just as this rule is feasible under GINA because not all health risk assessment questions seek genetic information, the same is true under the ADA, since not all health risk assessment questions seek disability-related information.  For example, typical HRAs may ask questions about whether a person uses sunscreen, eats whole grain foods, wears a seatbelt, exercises, watches television, drives within the speed limit, takes precautions to avoid workplace accidents, wears hats, avoids tanning booths and sunlamps, attends plays and concerts, and many other questions that do not relate to whether the person has a disability.</w:t>
      </w:r>
    </w:p>
  </w:footnote>
  <w:footnote w:id="25">
    <w:p w:rsidR="009B645E" w:rsidRPr="000F6413" w:rsidRDefault="009B645E" w:rsidP="009B645E">
      <w:pPr>
        <w:pStyle w:val="FootnoteText"/>
        <w:rPr>
          <w:rFonts w:ascii="Times New Roman" w:hAnsi="Times New Roman"/>
        </w:rPr>
      </w:pPr>
      <w:r w:rsidRPr="009B645E">
        <w:rPr>
          <w:rStyle w:val="FootnoteReference"/>
          <w:rFonts w:ascii="Times New Roman" w:hAnsi="Times New Roman"/>
          <w:sz w:val="22"/>
          <w:szCs w:val="22"/>
        </w:rPr>
        <w:footnoteRef/>
      </w:r>
      <w:r w:rsidRPr="009B645E">
        <w:rPr>
          <w:rFonts w:ascii="Times New Roman" w:hAnsi="Times New Roman"/>
          <w:sz w:val="22"/>
          <w:szCs w:val="22"/>
        </w:rPr>
        <w:t xml:space="preserve"> Insurance plans generally are not covered entities under Title I of the ADA. </w:t>
      </w:r>
      <w:r w:rsidRPr="009B645E">
        <w:rPr>
          <w:rFonts w:ascii="Times New Roman" w:hAnsi="Times New Roman"/>
          <w:i/>
          <w:sz w:val="22"/>
          <w:szCs w:val="22"/>
        </w:rPr>
        <w:t>See, e.g.</w:t>
      </w:r>
      <w:r w:rsidRPr="009B645E">
        <w:rPr>
          <w:rFonts w:ascii="Times New Roman" w:hAnsi="Times New Roman"/>
          <w:sz w:val="22"/>
          <w:szCs w:val="22"/>
        </w:rPr>
        <w:t xml:space="preserve">, </w:t>
      </w:r>
      <w:proofErr w:type="spellStart"/>
      <w:r w:rsidRPr="009B645E">
        <w:rPr>
          <w:rFonts w:ascii="Times New Roman" w:hAnsi="Times New Roman"/>
          <w:i/>
          <w:sz w:val="22"/>
          <w:szCs w:val="22"/>
        </w:rPr>
        <w:t>Weyer</w:t>
      </w:r>
      <w:proofErr w:type="spellEnd"/>
      <w:r w:rsidRPr="009B645E">
        <w:rPr>
          <w:rFonts w:ascii="Times New Roman" w:hAnsi="Times New Roman"/>
          <w:i/>
          <w:sz w:val="22"/>
          <w:szCs w:val="22"/>
        </w:rPr>
        <w:t xml:space="preserve"> v. Twentieth Century Fox Film Corp.</w:t>
      </w:r>
      <w:r w:rsidRPr="009B645E">
        <w:rPr>
          <w:rFonts w:ascii="Times New Roman" w:hAnsi="Times New Roman"/>
          <w:sz w:val="22"/>
          <w:szCs w:val="22"/>
        </w:rPr>
        <w:t xml:space="preserve">, 198 F.3d 1104, 1113 (9th Cir. 2000) (insurance company was “simply the administrator of the employer’s disability policy” and not a “covered entity” under Title I); </w:t>
      </w:r>
      <w:r w:rsidRPr="009B645E">
        <w:rPr>
          <w:rFonts w:ascii="Times New Roman" w:hAnsi="Times New Roman"/>
          <w:i/>
          <w:sz w:val="22"/>
          <w:szCs w:val="22"/>
        </w:rPr>
        <w:t>McMillian v. General Elec. Co.</w:t>
      </w:r>
      <w:r w:rsidRPr="009B645E">
        <w:rPr>
          <w:rFonts w:ascii="Times New Roman" w:hAnsi="Times New Roman"/>
          <w:sz w:val="22"/>
          <w:szCs w:val="22"/>
        </w:rPr>
        <w:t xml:space="preserve">, Civil Action No. 09-160, 2010 WL 3672243, at *4 (E.D.N.C. Jul. 12, 2010), </w:t>
      </w:r>
      <w:r w:rsidRPr="009B645E">
        <w:rPr>
          <w:rFonts w:ascii="Times New Roman" w:hAnsi="Times New Roman"/>
          <w:i/>
          <w:sz w:val="22"/>
          <w:szCs w:val="22"/>
        </w:rPr>
        <w:t>report and recommendation adopted</w:t>
      </w:r>
      <w:r w:rsidRPr="009B645E">
        <w:rPr>
          <w:rFonts w:ascii="Times New Roman" w:hAnsi="Times New Roman"/>
          <w:sz w:val="22"/>
          <w:szCs w:val="22"/>
        </w:rPr>
        <w:t xml:space="preserve"> 2010 WL 3732141 (insurance company not considered employer for purposes of ADA); </w:t>
      </w:r>
      <w:r w:rsidRPr="009B645E">
        <w:rPr>
          <w:rFonts w:ascii="Times New Roman" w:hAnsi="Times New Roman"/>
          <w:i/>
          <w:sz w:val="22"/>
          <w:szCs w:val="22"/>
        </w:rPr>
        <w:t>Good v. Blue Cross and Blue Shield of Maryland, Inc</w:t>
      </w:r>
      <w:r w:rsidRPr="009B645E">
        <w:rPr>
          <w:rFonts w:ascii="Times New Roman" w:hAnsi="Times New Roman"/>
          <w:sz w:val="22"/>
          <w:szCs w:val="22"/>
        </w:rPr>
        <w:t xml:space="preserve">., Civil Action No. 96-2843, 1996 WL 815373, at *1 (D. Md. Nov. 19, 1996); </w:t>
      </w:r>
      <w:r w:rsidRPr="009B645E">
        <w:rPr>
          <w:rFonts w:ascii="Times New Roman" w:hAnsi="Times New Roman"/>
          <w:i/>
          <w:sz w:val="22"/>
          <w:szCs w:val="22"/>
        </w:rPr>
        <w:t>Papp</w:t>
      </w:r>
      <w:r w:rsidRPr="00242DAD">
        <w:rPr>
          <w:rFonts w:ascii="Times New Roman" w:hAnsi="Times New Roman"/>
          <w:i/>
          <w:sz w:val="22"/>
          <w:szCs w:val="22"/>
        </w:rPr>
        <w:t xml:space="preserve">as v. Bethesda </w:t>
      </w:r>
      <w:proofErr w:type="spellStart"/>
      <w:r w:rsidRPr="00242DAD">
        <w:rPr>
          <w:rFonts w:ascii="Times New Roman" w:hAnsi="Times New Roman"/>
          <w:i/>
          <w:sz w:val="22"/>
          <w:szCs w:val="22"/>
        </w:rPr>
        <w:t>Hsop</w:t>
      </w:r>
      <w:proofErr w:type="spellEnd"/>
      <w:r w:rsidRPr="00242DAD">
        <w:rPr>
          <w:rFonts w:ascii="Times New Roman" w:hAnsi="Times New Roman"/>
          <w:i/>
          <w:sz w:val="22"/>
          <w:szCs w:val="22"/>
        </w:rPr>
        <w:t xml:space="preserve">. </w:t>
      </w:r>
      <w:proofErr w:type="spellStart"/>
      <w:r w:rsidRPr="00242DAD">
        <w:rPr>
          <w:rFonts w:ascii="Times New Roman" w:hAnsi="Times New Roman"/>
          <w:i/>
          <w:sz w:val="22"/>
          <w:szCs w:val="22"/>
        </w:rPr>
        <w:t>Ass’n</w:t>
      </w:r>
      <w:proofErr w:type="spellEnd"/>
      <w:r w:rsidRPr="00242DAD">
        <w:rPr>
          <w:rFonts w:ascii="Times New Roman" w:hAnsi="Times New Roman"/>
          <w:sz w:val="22"/>
          <w:szCs w:val="22"/>
        </w:rPr>
        <w:t>, 861 F. Supp. 616, 619 (S.D. Ohio 1994) (administrator of employee benefits not employer under ADA).</w:t>
      </w:r>
    </w:p>
  </w:footnote>
  <w:footnote w:id="26">
    <w:p w:rsidR="00060DAE" w:rsidRDefault="00060DAE">
      <w:pPr>
        <w:pStyle w:val="FootnoteText"/>
        <w:rPr>
          <w:rFonts w:ascii="Times New Roman" w:hAnsi="Times New Roman"/>
          <w:sz w:val="22"/>
          <w:szCs w:val="22"/>
        </w:rPr>
      </w:pPr>
      <w:r w:rsidRPr="00C6789D">
        <w:rPr>
          <w:rStyle w:val="FootnoteReference"/>
          <w:rFonts w:ascii="Times New Roman" w:hAnsi="Times New Roman"/>
          <w:sz w:val="22"/>
          <w:szCs w:val="22"/>
        </w:rPr>
        <w:footnoteRef/>
      </w:r>
      <w:r w:rsidRPr="00C6789D">
        <w:rPr>
          <w:rFonts w:ascii="Times New Roman" w:hAnsi="Times New Roman"/>
          <w:sz w:val="22"/>
          <w:szCs w:val="22"/>
        </w:rPr>
        <w:t xml:space="preserve"> </w:t>
      </w:r>
      <w:proofErr w:type="spellStart"/>
      <w:r w:rsidR="00F96952">
        <w:rPr>
          <w:rFonts w:ascii="Times New Roman" w:hAnsi="Times New Roman"/>
          <w:sz w:val="22"/>
          <w:szCs w:val="22"/>
        </w:rPr>
        <w:t>Soeren</w:t>
      </w:r>
      <w:proofErr w:type="spellEnd"/>
      <w:r w:rsidR="00F96952">
        <w:rPr>
          <w:rFonts w:ascii="Times New Roman" w:hAnsi="Times New Roman"/>
          <w:sz w:val="22"/>
          <w:szCs w:val="22"/>
        </w:rPr>
        <w:t xml:space="preserve"> </w:t>
      </w:r>
      <w:proofErr w:type="spellStart"/>
      <w:r w:rsidR="00F96952">
        <w:rPr>
          <w:rFonts w:ascii="Times New Roman" w:hAnsi="Times New Roman"/>
          <w:sz w:val="22"/>
          <w:szCs w:val="22"/>
        </w:rPr>
        <w:t>Mattke</w:t>
      </w:r>
      <w:proofErr w:type="spellEnd"/>
      <w:r w:rsidR="00F96952">
        <w:rPr>
          <w:rFonts w:ascii="Times New Roman" w:hAnsi="Times New Roman"/>
          <w:sz w:val="22"/>
          <w:szCs w:val="22"/>
        </w:rPr>
        <w:t xml:space="preserve"> et al., RAND Health, Workplace Wellness Programs Study:  Final Report (2013), </w:t>
      </w:r>
      <w:r w:rsidR="00F96952" w:rsidRPr="00F96952">
        <w:rPr>
          <w:rFonts w:ascii="Times New Roman" w:hAnsi="Times New Roman"/>
          <w:sz w:val="22"/>
          <w:szCs w:val="22"/>
        </w:rPr>
        <w:t>https://www.dol.gov/ebsa/pdf/workplacewellnessstudyfinal.pdf</w:t>
      </w:r>
      <w:r w:rsidR="00F96952">
        <w:rPr>
          <w:rFonts w:ascii="Times New Roman" w:hAnsi="Times New Roman"/>
          <w:sz w:val="22"/>
          <w:szCs w:val="22"/>
        </w:rPr>
        <w:t>.</w:t>
      </w:r>
    </w:p>
    <w:p w:rsidR="00A8686E" w:rsidRPr="00C6789D" w:rsidRDefault="00A8686E">
      <w:pPr>
        <w:pStyle w:val="FootnoteText"/>
        <w:rPr>
          <w:rFonts w:ascii="Times New Roman" w:hAnsi="Times New Roman"/>
          <w:sz w:val="22"/>
          <w:szCs w:val="22"/>
        </w:rPr>
      </w:pPr>
    </w:p>
  </w:footnote>
  <w:footnote w:id="27">
    <w:p w:rsidR="00A8686E" w:rsidRPr="00A8686E" w:rsidRDefault="00A8686E">
      <w:pPr>
        <w:pStyle w:val="FootnoteText"/>
        <w:rPr>
          <w:rFonts w:ascii="Times New Roman" w:hAnsi="Times New Roman"/>
          <w:sz w:val="22"/>
          <w:szCs w:val="22"/>
        </w:rPr>
      </w:pPr>
      <w:r w:rsidRPr="00A8686E">
        <w:rPr>
          <w:rStyle w:val="FootnoteReference"/>
          <w:rFonts w:ascii="Times New Roman" w:hAnsi="Times New Roman"/>
          <w:sz w:val="22"/>
          <w:szCs w:val="22"/>
        </w:rPr>
        <w:footnoteRef/>
      </w:r>
      <w:r w:rsidRPr="00A8686E">
        <w:rPr>
          <w:rFonts w:ascii="Times New Roman" w:hAnsi="Times New Roman"/>
          <w:sz w:val="22"/>
          <w:szCs w:val="22"/>
        </w:rPr>
        <w:t xml:space="preserve"> </w:t>
      </w:r>
      <w:proofErr w:type="spellStart"/>
      <w:r w:rsidRPr="00A8686E">
        <w:rPr>
          <w:rFonts w:ascii="Times New Roman" w:hAnsi="Times New Roman"/>
          <w:sz w:val="22"/>
          <w:szCs w:val="22"/>
        </w:rPr>
        <w:t>Soeren</w:t>
      </w:r>
      <w:proofErr w:type="spellEnd"/>
      <w:r w:rsidRPr="00A8686E">
        <w:rPr>
          <w:rFonts w:ascii="Times New Roman" w:hAnsi="Times New Roman"/>
          <w:sz w:val="22"/>
          <w:szCs w:val="22"/>
        </w:rPr>
        <w:t xml:space="preserve"> </w:t>
      </w:r>
      <w:proofErr w:type="spellStart"/>
      <w:r w:rsidRPr="00A8686E">
        <w:rPr>
          <w:rFonts w:ascii="Times New Roman" w:hAnsi="Times New Roman"/>
          <w:sz w:val="22"/>
          <w:szCs w:val="22"/>
        </w:rPr>
        <w:t>Mattke</w:t>
      </w:r>
      <w:proofErr w:type="spellEnd"/>
      <w:r w:rsidRPr="00A8686E">
        <w:rPr>
          <w:rFonts w:ascii="Times New Roman" w:hAnsi="Times New Roman"/>
          <w:sz w:val="22"/>
          <w:szCs w:val="22"/>
        </w:rPr>
        <w:t xml:space="preserve">, </w:t>
      </w:r>
      <w:r w:rsidRPr="00A8686E">
        <w:rPr>
          <w:rFonts w:ascii="Times New Roman" w:hAnsi="Times New Roman"/>
          <w:i/>
          <w:color w:val="000000"/>
          <w:spacing w:val="4"/>
          <w:kern w:val="36"/>
          <w:sz w:val="22"/>
          <w:szCs w:val="22"/>
        </w:rPr>
        <w:t xml:space="preserve">When It Comes </w:t>
      </w:r>
      <w:proofErr w:type="gramStart"/>
      <w:r w:rsidRPr="00A8686E">
        <w:rPr>
          <w:rFonts w:ascii="Times New Roman" w:hAnsi="Times New Roman"/>
          <w:i/>
          <w:color w:val="000000"/>
          <w:spacing w:val="4"/>
          <w:kern w:val="36"/>
          <w:sz w:val="22"/>
          <w:szCs w:val="22"/>
        </w:rPr>
        <w:t>To The Value Of</w:t>
      </w:r>
      <w:proofErr w:type="gramEnd"/>
      <w:r w:rsidRPr="00A8686E">
        <w:rPr>
          <w:rFonts w:ascii="Times New Roman" w:hAnsi="Times New Roman"/>
          <w:i/>
          <w:color w:val="000000"/>
          <w:spacing w:val="4"/>
          <w:kern w:val="36"/>
          <w:sz w:val="22"/>
          <w:szCs w:val="22"/>
        </w:rPr>
        <w:t xml:space="preserve"> Wellness, Ask About Fairness Not Just About Effectiveness</w:t>
      </w:r>
      <w:r>
        <w:rPr>
          <w:rFonts w:ascii="Times New Roman" w:hAnsi="Times New Roman"/>
          <w:color w:val="000000"/>
          <w:spacing w:val="4"/>
          <w:kern w:val="36"/>
          <w:sz w:val="22"/>
          <w:szCs w:val="22"/>
        </w:rPr>
        <w:t xml:space="preserve">, Health Affairs Blog (Mar. 18, 2015), </w:t>
      </w:r>
      <w:r w:rsidRPr="00A8686E">
        <w:rPr>
          <w:rFonts w:ascii="Times New Roman" w:hAnsi="Times New Roman"/>
          <w:color w:val="000000"/>
          <w:spacing w:val="4"/>
          <w:kern w:val="36"/>
          <w:sz w:val="22"/>
          <w:szCs w:val="22"/>
        </w:rPr>
        <w:t>http://healthaffairs.org/blog/2015/03/18/when-it-comes-to-the-value-of-wellness-ask-about-fairness-not-just-about-effectiveness/</w:t>
      </w:r>
      <w:r>
        <w:rPr>
          <w:rFonts w:ascii="Times New Roman" w:hAnsi="Times New Roman"/>
          <w:color w:val="000000"/>
          <w:spacing w:val="4"/>
          <w:kern w:val="36"/>
          <w:sz w:val="22"/>
          <w:szCs w:val="22"/>
        </w:rPr>
        <w:t>.</w:t>
      </w:r>
    </w:p>
    <w:p w:rsidR="00A8686E" w:rsidRPr="00F96952" w:rsidRDefault="00A8686E">
      <w:pPr>
        <w:pStyle w:val="FootnoteText"/>
        <w:rPr>
          <w:rFonts w:ascii="Times New Roman" w:hAnsi="Times New Roman"/>
          <w:sz w:val="22"/>
          <w:szCs w:val="22"/>
        </w:rPr>
      </w:pPr>
    </w:p>
  </w:footnote>
  <w:footnote w:id="28">
    <w:p w:rsidR="00C6789D" w:rsidRPr="00C6789D" w:rsidRDefault="00C6789D">
      <w:pPr>
        <w:pStyle w:val="FootnoteText"/>
        <w:rPr>
          <w:rFonts w:ascii="Times New Roman" w:hAnsi="Times New Roman"/>
          <w:sz w:val="22"/>
          <w:szCs w:val="22"/>
        </w:rPr>
      </w:pPr>
      <w:r w:rsidRPr="00C31ADE">
        <w:rPr>
          <w:rStyle w:val="FootnoteReference"/>
          <w:rFonts w:ascii="Times New Roman" w:hAnsi="Times New Roman"/>
          <w:sz w:val="22"/>
          <w:szCs w:val="22"/>
        </w:rPr>
        <w:footnoteRef/>
      </w:r>
      <w:r w:rsidRPr="00C31ADE">
        <w:rPr>
          <w:rFonts w:ascii="Times New Roman" w:hAnsi="Times New Roman"/>
          <w:sz w:val="22"/>
          <w:szCs w:val="22"/>
        </w:rPr>
        <w:t xml:space="preserve"> </w:t>
      </w:r>
      <w:r w:rsidR="00C31ADE" w:rsidRPr="00C31ADE">
        <w:rPr>
          <w:rFonts w:ascii="Times New Roman" w:hAnsi="Times New Roman"/>
          <w:sz w:val="22"/>
          <w:szCs w:val="22"/>
        </w:rPr>
        <w:t xml:space="preserve">Kaiser Family Foundation, </w:t>
      </w:r>
      <w:r w:rsidR="00C31ADE" w:rsidRPr="00F96952">
        <w:rPr>
          <w:rFonts w:ascii="Times New Roman" w:hAnsi="Times New Roman"/>
          <w:sz w:val="22"/>
          <w:szCs w:val="22"/>
        </w:rPr>
        <w:t>2014 Employer Health Benefits Survey, Section 12:  Wellness Programs and Health Risk Assessments</w:t>
      </w:r>
      <w:r w:rsidR="00C31ADE">
        <w:rPr>
          <w:rFonts w:ascii="Times New Roman" w:hAnsi="Times New Roman"/>
          <w:sz w:val="22"/>
          <w:szCs w:val="22"/>
        </w:rPr>
        <w:t xml:space="preserve"> (Sept. 10 2014)</w:t>
      </w:r>
      <w:r w:rsidR="00C31ADE" w:rsidRPr="00F96952">
        <w:rPr>
          <w:rFonts w:ascii="Times New Roman" w:hAnsi="Times New Roman"/>
          <w:sz w:val="22"/>
          <w:szCs w:val="22"/>
        </w:rPr>
        <w:t>, http://kff.org/report-section/ehbs-2014-section-twelve-wellness-programs-and-health-risk-assessments/.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C9" w:rsidRDefault="00FC346C" w:rsidP="00BC3DCE">
    <w:pPr>
      <w:pStyle w:val="Header"/>
      <w:tabs>
        <w:tab w:val="clear" w:pos="4680"/>
      </w:tabs>
      <w:ind w:left="-1170"/>
      <w:jc w:val="center"/>
    </w:pPr>
    <w:r>
      <w:rPr>
        <w:noProof/>
      </w:rPr>
      <mc:AlternateContent>
        <mc:Choice Requires="wps">
          <w:drawing>
            <wp:anchor distT="0" distB="0" distL="114300" distR="114300" simplePos="0" relativeHeight="251661312" behindDoc="0" locked="0" layoutInCell="1" allowOverlap="1" wp14:anchorId="3DB32AD0" wp14:editId="1D7E393E">
              <wp:simplePos x="0" y="0"/>
              <wp:positionH relativeFrom="column">
                <wp:posOffset>-591820</wp:posOffset>
              </wp:positionH>
              <wp:positionV relativeFrom="paragraph">
                <wp:posOffset>179070</wp:posOffset>
              </wp:positionV>
              <wp:extent cx="2032000" cy="360680"/>
              <wp:effectExtent l="0" t="0"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Pr="00FD6DC9" w:rsidRDefault="00FD6DC9">
                          <w:pPr>
                            <w:rPr>
                              <w:rFonts w:asciiTheme="minorHAnsi" w:hAnsiTheme="minorHAnsi"/>
                              <w:sz w:val="26"/>
                              <w:szCs w:val="26"/>
                            </w:rPr>
                          </w:pPr>
                          <w:r w:rsidRPr="00FD6DC9">
                            <w:rPr>
                              <w:rFonts w:asciiTheme="minorHAnsi" w:hAnsiTheme="minorHAnsi"/>
                              <w:sz w:val="26"/>
                              <w:szCs w:val="26"/>
                            </w:rPr>
                            <w:t>The Judge David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32AD0" id="_x0000_t202" coordsize="21600,21600" o:spt="202" path="m,l,21600r21600,l21600,xe">
              <v:stroke joinstyle="miter"/>
              <v:path gradientshapeok="t" o:connecttype="rect"/>
            </v:shapetype>
            <v:shape id="Text Box 3" o:spid="_x0000_s1026" type="#_x0000_t202" style="position:absolute;left:0;text-align:left;margin-left:-46.6pt;margin-top:14.1pt;width:160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" filled="f" stroked="f">
              <v:textbox>
                <w:txbxContent>
                  <w:p w:rsidR="00FD6DC9" w:rsidRPr="00FD6DC9" w:rsidRDefault="00FD6DC9">
                    <w:pPr>
                      <w:rPr>
                        <w:rFonts w:asciiTheme="minorHAnsi" w:hAnsiTheme="minorHAnsi"/>
                        <w:sz w:val="26"/>
                        <w:szCs w:val="26"/>
                      </w:rPr>
                    </w:pPr>
                    <w:r w:rsidRPr="00FD6DC9">
                      <w:rPr>
                        <w:rFonts w:asciiTheme="minorHAnsi" w:hAnsiTheme="minorHAnsi"/>
                        <w:sz w:val="26"/>
                        <w:szCs w:val="26"/>
                      </w:rPr>
                      <w:t>The Judge David 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66C489" wp14:editId="178E7A6A">
              <wp:simplePos x="0" y="0"/>
              <wp:positionH relativeFrom="column">
                <wp:posOffset>1736725</wp:posOffset>
              </wp:positionH>
              <wp:positionV relativeFrom="paragraph">
                <wp:posOffset>816610</wp:posOffset>
              </wp:positionV>
              <wp:extent cx="1511935" cy="301625"/>
              <wp:effectExtent l="3175"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Pr="00FD6DC9" w:rsidRDefault="00FD6DC9">
                          <w:pPr>
                            <w:rPr>
                              <w:rFonts w:asciiTheme="minorHAnsi" w:hAnsiTheme="minorHAnsi"/>
                              <w:color w:val="943634" w:themeColor="accent2" w:themeShade="BF"/>
                              <w:sz w:val="18"/>
                              <w:szCs w:val="18"/>
                            </w:rPr>
                          </w:pPr>
                          <w:r w:rsidRPr="00FD6DC9">
                            <w:rPr>
                              <w:rFonts w:asciiTheme="minorHAnsi" w:hAnsiTheme="minorHAnsi"/>
                              <w:color w:val="943634" w:themeColor="accent2" w:themeShade="BF"/>
                              <w:sz w:val="18"/>
                              <w:szCs w:val="18"/>
                            </w:rPr>
                            <w:t>www.bazelon.org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C489" id="Text Box 6" o:spid="_x0000_s1027" type="#_x0000_t202" style="position:absolute;left:0;text-align:left;margin-left:136.75pt;margin-top:64.3pt;width:119.05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nM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" filled="f" stroked="f">
              <v:textbox>
                <w:txbxContent>
                  <w:p w:rsidR="00FD6DC9" w:rsidRPr="00FD6DC9" w:rsidRDefault="00FD6DC9">
                    <w:pPr>
                      <w:rPr>
                        <w:rFonts w:asciiTheme="minorHAnsi" w:hAnsiTheme="minorHAnsi"/>
                        <w:color w:val="943634" w:themeColor="accent2" w:themeShade="BF"/>
                        <w:sz w:val="18"/>
                        <w:szCs w:val="18"/>
                      </w:rPr>
                    </w:pPr>
                    <w:r w:rsidRPr="00FD6DC9">
                      <w:rPr>
                        <w:rFonts w:asciiTheme="minorHAnsi" w:hAnsiTheme="minorHAnsi"/>
                        <w:color w:val="943634" w:themeColor="accent2" w:themeShade="BF"/>
                        <w:sz w:val="18"/>
                        <w:szCs w:val="18"/>
                      </w:rPr>
                      <w:t>www.bazelon.org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FFAE24A" wp14:editId="66C80A0C">
              <wp:simplePos x="0" y="0"/>
              <wp:positionH relativeFrom="column">
                <wp:posOffset>1068070</wp:posOffset>
              </wp:positionH>
              <wp:positionV relativeFrom="paragraph">
                <wp:posOffset>645795</wp:posOffset>
              </wp:positionV>
              <wp:extent cx="1954530" cy="323850"/>
              <wp:effectExtent l="127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Pr="00FD6DC9" w:rsidRDefault="00FD6DC9">
                          <w:pPr>
                            <w:rPr>
                              <w:rFonts w:asciiTheme="minorHAnsi" w:hAnsiTheme="minorHAnsi"/>
                              <w:sz w:val="26"/>
                              <w:szCs w:val="26"/>
                            </w:rPr>
                          </w:pPr>
                          <w:proofErr w:type="gramStart"/>
                          <w:r w:rsidRPr="00FD6DC9">
                            <w:rPr>
                              <w:rFonts w:asciiTheme="minorHAnsi" w:hAnsiTheme="minorHAnsi"/>
                              <w:sz w:val="26"/>
                              <w:szCs w:val="26"/>
                            </w:rPr>
                            <w:t>for</w:t>
                          </w:r>
                          <w:proofErr w:type="gramEnd"/>
                          <w:r w:rsidRPr="00FD6DC9">
                            <w:rPr>
                              <w:rFonts w:asciiTheme="minorHAnsi" w:hAnsiTheme="minorHAnsi"/>
                              <w:sz w:val="26"/>
                              <w:szCs w:val="26"/>
                            </w:rPr>
                            <w:t xml:space="preserve"> Mental Health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AE24A" id="Text Box 5" o:spid="_x0000_s1028" type="#_x0000_t202" style="position:absolute;left:0;text-align:left;margin-left:84.1pt;margin-top:50.85pt;width:153.9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LuQ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" filled="f" stroked="f">
              <v:textbox>
                <w:txbxContent>
                  <w:p w:rsidR="00FD6DC9" w:rsidRPr="00FD6DC9" w:rsidRDefault="00FD6DC9">
                    <w:pPr>
                      <w:rPr>
                        <w:rFonts w:asciiTheme="minorHAnsi" w:hAnsiTheme="minorHAnsi"/>
                        <w:sz w:val="26"/>
                        <w:szCs w:val="26"/>
                      </w:rPr>
                    </w:pPr>
                    <w:proofErr w:type="gramStart"/>
                    <w:r w:rsidRPr="00FD6DC9">
                      <w:rPr>
                        <w:rFonts w:asciiTheme="minorHAnsi" w:hAnsiTheme="minorHAnsi"/>
                        <w:sz w:val="26"/>
                        <w:szCs w:val="26"/>
                      </w:rPr>
                      <w:t>for</w:t>
                    </w:r>
                    <w:proofErr w:type="gramEnd"/>
                    <w:r w:rsidRPr="00FD6DC9">
                      <w:rPr>
                        <w:rFonts w:asciiTheme="minorHAnsi" w:hAnsiTheme="minorHAnsi"/>
                        <w:sz w:val="26"/>
                        <w:szCs w:val="26"/>
                      </w:rPr>
                      <w:t xml:space="preserve"> Mental Health Law</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3364E0B" wp14:editId="755CD41C">
              <wp:simplePos x="0" y="0"/>
              <wp:positionH relativeFrom="column">
                <wp:posOffset>-615950</wp:posOffset>
              </wp:positionH>
              <wp:positionV relativeFrom="paragraph">
                <wp:posOffset>329565</wp:posOffset>
              </wp:positionV>
              <wp:extent cx="3264535" cy="43307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Pr="00095F3E" w:rsidRDefault="00FD6DC9">
                          <w:pPr>
                            <w:rPr>
                              <w:rFonts w:asciiTheme="majorHAnsi" w:hAnsiTheme="majorHAnsi"/>
                              <w:sz w:val="52"/>
                              <w:szCs w:val="52"/>
                            </w:rPr>
                          </w:pPr>
                          <w:r w:rsidRPr="00095F3E">
                            <w:rPr>
                              <w:rFonts w:asciiTheme="majorHAnsi" w:hAnsiTheme="majorHAnsi"/>
                              <w:sz w:val="52"/>
                              <w:szCs w:val="52"/>
                            </w:rPr>
                            <w:t>BAZELON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364E0B" id="Text Box 2" o:spid="_x0000_s1029" type="#_x0000_t202" style="position:absolute;left:0;text-align:left;margin-left:-48.5pt;margin-top:25.95pt;width:257.05pt;height:3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u7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" filled="f" stroked="f">
              <v:textbox>
                <w:txbxContent>
                  <w:p w:rsidR="00FD6DC9" w:rsidRPr="00095F3E" w:rsidRDefault="00FD6DC9">
                    <w:pPr>
                      <w:rPr>
                        <w:rFonts w:asciiTheme="majorHAnsi" w:hAnsiTheme="majorHAnsi"/>
                        <w:sz w:val="52"/>
                        <w:szCs w:val="52"/>
                      </w:rPr>
                    </w:pPr>
                    <w:r w:rsidRPr="00095F3E">
                      <w:rPr>
                        <w:rFonts w:asciiTheme="majorHAnsi" w:hAnsiTheme="majorHAnsi"/>
                        <w:sz w:val="52"/>
                        <w:szCs w:val="52"/>
                      </w:rPr>
                      <w:t>BAZELON CENTER</w:t>
                    </w:r>
                  </w:p>
                </w:txbxContent>
              </v:textbox>
            </v:shape>
          </w:pict>
        </mc:Fallback>
      </mc:AlternateContent>
    </w:r>
    <w:r w:rsidR="00FD6DC9">
      <w:rPr>
        <w:noProof/>
      </w:rPr>
      <w:drawing>
        <wp:inline distT="0" distB="0" distL="0" distR="0" wp14:anchorId="05422764" wp14:editId="55EDEC7C">
          <wp:extent cx="7331075" cy="1106112"/>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38" t="1562" r="238" b="1562"/>
                  <a:stretch>
                    <a:fillRect/>
                  </a:stretch>
                </pic:blipFill>
                <pic:spPr bwMode="auto">
                  <a:xfrm>
                    <a:off x="0" y="0"/>
                    <a:ext cx="7331075" cy="110611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843"/>
    <w:multiLevelType w:val="hybridMultilevel"/>
    <w:tmpl w:val="94A2B212"/>
    <w:lvl w:ilvl="0" w:tplc="741485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90B2F"/>
    <w:multiLevelType w:val="hybridMultilevel"/>
    <w:tmpl w:val="FE06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214D"/>
    <w:multiLevelType w:val="hybridMultilevel"/>
    <w:tmpl w:val="03E4B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33DDA"/>
    <w:multiLevelType w:val="hybridMultilevel"/>
    <w:tmpl w:val="B2C4B8B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F71F8B"/>
    <w:multiLevelType w:val="hybridMultilevel"/>
    <w:tmpl w:val="FE06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C1BE3"/>
    <w:multiLevelType w:val="hybridMultilevel"/>
    <w:tmpl w:val="89F02CB0"/>
    <w:lvl w:ilvl="0" w:tplc="E05A8DA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6ED7"/>
    <w:multiLevelType w:val="hybridMultilevel"/>
    <w:tmpl w:val="0448B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3008"/>
    <w:multiLevelType w:val="hybridMultilevel"/>
    <w:tmpl w:val="B74C9668"/>
    <w:lvl w:ilvl="0" w:tplc="3182D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45CB9"/>
    <w:multiLevelType w:val="hybridMultilevel"/>
    <w:tmpl w:val="51FED822"/>
    <w:lvl w:ilvl="0" w:tplc="5C663F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6719F"/>
    <w:multiLevelType w:val="hybridMultilevel"/>
    <w:tmpl w:val="837A5AFA"/>
    <w:lvl w:ilvl="0" w:tplc="B1D2370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852351"/>
    <w:multiLevelType w:val="hybridMultilevel"/>
    <w:tmpl w:val="1156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F5010"/>
    <w:multiLevelType w:val="hybridMultilevel"/>
    <w:tmpl w:val="A4B0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A0653"/>
    <w:multiLevelType w:val="hybridMultilevel"/>
    <w:tmpl w:val="159419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2"/>
  </w:num>
  <w:num w:numId="5">
    <w:abstractNumId w:val="4"/>
  </w:num>
  <w:num w:numId="6">
    <w:abstractNumId w:val="1"/>
  </w:num>
  <w:num w:numId="7">
    <w:abstractNumId w:val="9"/>
  </w:num>
  <w:num w:numId="8">
    <w:abstractNumId w:val="8"/>
  </w:num>
  <w:num w:numId="9">
    <w:abstractNumId w:val="7"/>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o:colormru v:ext="edit" colors="#f7f2c9,#803400,#801900,#f7eec8,#e9da88,#fbf8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D905CA-4B73-4AB7-8F60-3C62865EB5CD}"/>
    <w:docVar w:name="dgnword-eventsink" w:val="44262168"/>
  </w:docVars>
  <w:rsids>
    <w:rsidRoot w:val="00FC346C"/>
    <w:rsid w:val="0000456C"/>
    <w:rsid w:val="00007B57"/>
    <w:rsid w:val="000109CB"/>
    <w:rsid w:val="00015BB1"/>
    <w:rsid w:val="00026DFE"/>
    <w:rsid w:val="00032E0E"/>
    <w:rsid w:val="0004537A"/>
    <w:rsid w:val="00051BF1"/>
    <w:rsid w:val="0005593F"/>
    <w:rsid w:val="00055D36"/>
    <w:rsid w:val="00056A27"/>
    <w:rsid w:val="00056EC6"/>
    <w:rsid w:val="00060DAE"/>
    <w:rsid w:val="000618F8"/>
    <w:rsid w:val="00063350"/>
    <w:rsid w:val="00065C18"/>
    <w:rsid w:val="000720F5"/>
    <w:rsid w:val="00072B5F"/>
    <w:rsid w:val="00077AE6"/>
    <w:rsid w:val="00085725"/>
    <w:rsid w:val="0008662C"/>
    <w:rsid w:val="00090636"/>
    <w:rsid w:val="00091202"/>
    <w:rsid w:val="00093F3A"/>
    <w:rsid w:val="00095F3E"/>
    <w:rsid w:val="00096057"/>
    <w:rsid w:val="000A734F"/>
    <w:rsid w:val="000B4D07"/>
    <w:rsid w:val="000B53DF"/>
    <w:rsid w:val="000C2E26"/>
    <w:rsid w:val="000C706A"/>
    <w:rsid w:val="000D6E5A"/>
    <w:rsid w:val="001079E7"/>
    <w:rsid w:val="00116F76"/>
    <w:rsid w:val="00120815"/>
    <w:rsid w:val="00122B3C"/>
    <w:rsid w:val="0012350B"/>
    <w:rsid w:val="00123728"/>
    <w:rsid w:val="001276DF"/>
    <w:rsid w:val="001451B1"/>
    <w:rsid w:val="001512BD"/>
    <w:rsid w:val="001675BE"/>
    <w:rsid w:val="001700FD"/>
    <w:rsid w:val="00174616"/>
    <w:rsid w:val="001807E8"/>
    <w:rsid w:val="001824B8"/>
    <w:rsid w:val="0018257B"/>
    <w:rsid w:val="00183414"/>
    <w:rsid w:val="0019300E"/>
    <w:rsid w:val="00197F37"/>
    <w:rsid w:val="001A0366"/>
    <w:rsid w:val="001A2AFC"/>
    <w:rsid w:val="001A3C3D"/>
    <w:rsid w:val="001B0680"/>
    <w:rsid w:val="001B7A50"/>
    <w:rsid w:val="001C07F0"/>
    <w:rsid w:val="001C0E86"/>
    <w:rsid w:val="001C3990"/>
    <w:rsid w:val="001D33D5"/>
    <w:rsid w:val="001E1BA1"/>
    <w:rsid w:val="001E2860"/>
    <w:rsid w:val="001F7F6E"/>
    <w:rsid w:val="002118D6"/>
    <w:rsid w:val="00221D80"/>
    <w:rsid w:val="00223BB2"/>
    <w:rsid w:val="00226016"/>
    <w:rsid w:val="0022669A"/>
    <w:rsid w:val="00234AB6"/>
    <w:rsid w:val="00242529"/>
    <w:rsid w:val="002458DD"/>
    <w:rsid w:val="00250B0F"/>
    <w:rsid w:val="00251321"/>
    <w:rsid w:val="0025240A"/>
    <w:rsid w:val="00252B5A"/>
    <w:rsid w:val="00263145"/>
    <w:rsid w:val="0026344D"/>
    <w:rsid w:val="00270B22"/>
    <w:rsid w:val="00270F7C"/>
    <w:rsid w:val="00271590"/>
    <w:rsid w:val="00283E85"/>
    <w:rsid w:val="00284702"/>
    <w:rsid w:val="00284B73"/>
    <w:rsid w:val="00286AC5"/>
    <w:rsid w:val="00291316"/>
    <w:rsid w:val="002A0E7D"/>
    <w:rsid w:val="002D12D4"/>
    <w:rsid w:val="002D1EA2"/>
    <w:rsid w:val="002D5185"/>
    <w:rsid w:val="002F6809"/>
    <w:rsid w:val="00300E2A"/>
    <w:rsid w:val="003015A7"/>
    <w:rsid w:val="00303B6D"/>
    <w:rsid w:val="00306428"/>
    <w:rsid w:val="00314431"/>
    <w:rsid w:val="00320A62"/>
    <w:rsid w:val="00325D12"/>
    <w:rsid w:val="003337AF"/>
    <w:rsid w:val="00334259"/>
    <w:rsid w:val="003406CA"/>
    <w:rsid w:val="00340A98"/>
    <w:rsid w:val="00346D4D"/>
    <w:rsid w:val="003536AA"/>
    <w:rsid w:val="00353935"/>
    <w:rsid w:val="00356DDB"/>
    <w:rsid w:val="00363F82"/>
    <w:rsid w:val="003661BB"/>
    <w:rsid w:val="00366498"/>
    <w:rsid w:val="003722E6"/>
    <w:rsid w:val="0037743B"/>
    <w:rsid w:val="00377922"/>
    <w:rsid w:val="00391155"/>
    <w:rsid w:val="003A00AF"/>
    <w:rsid w:val="003B6B61"/>
    <w:rsid w:val="003C0CFC"/>
    <w:rsid w:val="003C2BD3"/>
    <w:rsid w:val="003C42D7"/>
    <w:rsid w:val="003D7A65"/>
    <w:rsid w:val="003E6C00"/>
    <w:rsid w:val="00402558"/>
    <w:rsid w:val="00404929"/>
    <w:rsid w:val="00405705"/>
    <w:rsid w:val="00406BB0"/>
    <w:rsid w:val="00420625"/>
    <w:rsid w:val="0043490C"/>
    <w:rsid w:val="004350A9"/>
    <w:rsid w:val="00435F1E"/>
    <w:rsid w:val="0044145E"/>
    <w:rsid w:val="00441C49"/>
    <w:rsid w:val="0044493D"/>
    <w:rsid w:val="004561BF"/>
    <w:rsid w:val="00463E76"/>
    <w:rsid w:val="00465E51"/>
    <w:rsid w:val="00467DFE"/>
    <w:rsid w:val="00475837"/>
    <w:rsid w:val="00482FEF"/>
    <w:rsid w:val="00483D42"/>
    <w:rsid w:val="004847DB"/>
    <w:rsid w:val="00485A9A"/>
    <w:rsid w:val="00487032"/>
    <w:rsid w:val="00490FC9"/>
    <w:rsid w:val="004911D4"/>
    <w:rsid w:val="0049129C"/>
    <w:rsid w:val="00494CFD"/>
    <w:rsid w:val="004A1416"/>
    <w:rsid w:val="004A4940"/>
    <w:rsid w:val="004C2D02"/>
    <w:rsid w:val="004D5978"/>
    <w:rsid w:val="004D6750"/>
    <w:rsid w:val="004E1517"/>
    <w:rsid w:val="004E3796"/>
    <w:rsid w:val="004F5720"/>
    <w:rsid w:val="00505E9A"/>
    <w:rsid w:val="00506AB4"/>
    <w:rsid w:val="0052068D"/>
    <w:rsid w:val="00522A3F"/>
    <w:rsid w:val="00524FED"/>
    <w:rsid w:val="00526447"/>
    <w:rsid w:val="00530BC0"/>
    <w:rsid w:val="00540768"/>
    <w:rsid w:val="005434E0"/>
    <w:rsid w:val="00555B0F"/>
    <w:rsid w:val="005675F4"/>
    <w:rsid w:val="00595077"/>
    <w:rsid w:val="00596DCE"/>
    <w:rsid w:val="005A1234"/>
    <w:rsid w:val="005A36CC"/>
    <w:rsid w:val="005A5703"/>
    <w:rsid w:val="005B5597"/>
    <w:rsid w:val="005B7494"/>
    <w:rsid w:val="005E1FF8"/>
    <w:rsid w:val="005F1C2A"/>
    <w:rsid w:val="005F40FB"/>
    <w:rsid w:val="005F4C0B"/>
    <w:rsid w:val="005F6379"/>
    <w:rsid w:val="00604F3E"/>
    <w:rsid w:val="00621176"/>
    <w:rsid w:val="00621F7D"/>
    <w:rsid w:val="00622118"/>
    <w:rsid w:val="006236B8"/>
    <w:rsid w:val="00626D41"/>
    <w:rsid w:val="00640AA0"/>
    <w:rsid w:val="0066145D"/>
    <w:rsid w:val="00665DBB"/>
    <w:rsid w:val="00667423"/>
    <w:rsid w:val="0067000A"/>
    <w:rsid w:val="00670690"/>
    <w:rsid w:val="00672347"/>
    <w:rsid w:val="00687C30"/>
    <w:rsid w:val="006A0691"/>
    <w:rsid w:val="006B18EC"/>
    <w:rsid w:val="006D5C88"/>
    <w:rsid w:val="00700AC5"/>
    <w:rsid w:val="00704478"/>
    <w:rsid w:val="00723E97"/>
    <w:rsid w:val="007307D7"/>
    <w:rsid w:val="00731F09"/>
    <w:rsid w:val="007344D4"/>
    <w:rsid w:val="00744254"/>
    <w:rsid w:val="00762D90"/>
    <w:rsid w:val="007752AA"/>
    <w:rsid w:val="00776A53"/>
    <w:rsid w:val="00791750"/>
    <w:rsid w:val="00791C10"/>
    <w:rsid w:val="00793FAF"/>
    <w:rsid w:val="0079573A"/>
    <w:rsid w:val="007A7F38"/>
    <w:rsid w:val="007B2256"/>
    <w:rsid w:val="007C2E77"/>
    <w:rsid w:val="007D37CA"/>
    <w:rsid w:val="007D38D8"/>
    <w:rsid w:val="007E5437"/>
    <w:rsid w:val="007E63A1"/>
    <w:rsid w:val="007F1E0C"/>
    <w:rsid w:val="007F7471"/>
    <w:rsid w:val="00801E3D"/>
    <w:rsid w:val="00802BC0"/>
    <w:rsid w:val="00807397"/>
    <w:rsid w:val="00807A01"/>
    <w:rsid w:val="00831530"/>
    <w:rsid w:val="00833237"/>
    <w:rsid w:val="00834CE4"/>
    <w:rsid w:val="008403E3"/>
    <w:rsid w:val="00840697"/>
    <w:rsid w:val="00840E8D"/>
    <w:rsid w:val="00847215"/>
    <w:rsid w:val="00853571"/>
    <w:rsid w:val="0086451D"/>
    <w:rsid w:val="00865DC9"/>
    <w:rsid w:val="00873938"/>
    <w:rsid w:val="008758C3"/>
    <w:rsid w:val="00890CDB"/>
    <w:rsid w:val="00892F83"/>
    <w:rsid w:val="00897EC5"/>
    <w:rsid w:val="008A0A1E"/>
    <w:rsid w:val="008B4692"/>
    <w:rsid w:val="008C6D20"/>
    <w:rsid w:val="008D18DE"/>
    <w:rsid w:val="008E5F9A"/>
    <w:rsid w:val="008F151A"/>
    <w:rsid w:val="008F50C2"/>
    <w:rsid w:val="00900D08"/>
    <w:rsid w:val="0090244D"/>
    <w:rsid w:val="009145CF"/>
    <w:rsid w:val="00916D69"/>
    <w:rsid w:val="00927497"/>
    <w:rsid w:val="0093173C"/>
    <w:rsid w:val="00935B87"/>
    <w:rsid w:val="00942690"/>
    <w:rsid w:val="00951C8B"/>
    <w:rsid w:val="00953E4F"/>
    <w:rsid w:val="00955AA7"/>
    <w:rsid w:val="0096652F"/>
    <w:rsid w:val="00972C4D"/>
    <w:rsid w:val="009765F8"/>
    <w:rsid w:val="00977610"/>
    <w:rsid w:val="00977C2B"/>
    <w:rsid w:val="0099203A"/>
    <w:rsid w:val="009935A3"/>
    <w:rsid w:val="00995012"/>
    <w:rsid w:val="009A0C7E"/>
    <w:rsid w:val="009A0D11"/>
    <w:rsid w:val="009B038B"/>
    <w:rsid w:val="009B2599"/>
    <w:rsid w:val="009B645E"/>
    <w:rsid w:val="009C566B"/>
    <w:rsid w:val="009D063E"/>
    <w:rsid w:val="009D3188"/>
    <w:rsid w:val="009E47AE"/>
    <w:rsid w:val="009E486F"/>
    <w:rsid w:val="009F0AD2"/>
    <w:rsid w:val="00A00D48"/>
    <w:rsid w:val="00A018D5"/>
    <w:rsid w:val="00A028B1"/>
    <w:rsid w:val="00A12D3C"/>
    <w:rsid w:val="00A12FC6"/>
    <w:rsid w:val="00A135DB"/>
    <w:rsid w:val="00A14056"/>
    <w:rsid w:val="00A14EBD"/>
    <w:rsid w:val="00A22CF0"/>
    <w:rsid w:val="00A322DB"/>
    <w:rsid w:val="00A32F9C"/>
    <w:rsid w:val="00A3428C"/>
    <w:rsid w:val="00A42729"/>
    <w:rsid w:val="00A46ABC"/>
    <w:rsid w:val="00A60F5D"/>
    <w:rsid w:val="00A6141E"/>
    <w:rsid w:val="00A73AB5"/>
    <w:rsid w:val="00A8686E"/>
    <w:rsid w:val="00A96E38"/>
    <w:rsid w:val="00AA68A8"/>
    <w:rsid w:val="00AB01C1"/>
    <w:rsid w:val="00AB0355"/>
    <w:rsid w:val="00AB175C"/>
    <w:rsid w:val="00AB5275"/>
    <w:rsid w:val="00AE009A"/>
    <w:rsid w:val="00AF111B"/>
    <w:rsid w:val="00AF1423"/>
    <w:rsid w:val="00AF18AB"/>
    <w:rsid w:val="00AF1D01"/>
    <w:rsid w:val="00AF32B2"/>
    <w:rsid w:val="00AF3997"/>
    <w:rsid w:val="00B078BE"/>
    <w:rsid w:val="00B240CB"/>
    <w:rsid w:val="00B3072B"/>
    <w:rsid w:val="00B33B65"/>
    <w:rsid w:val="00B406D5"/>
    <w:rsid w:val="00B44B9A"/>
    <w:rsid w:val="00B46EC8"/>
    <w:rsid w:val="00B51537"/>
    <w:rsid w:val="00B63C1E"/>
    <w:rsid w:val="00B712D2"/>
    <w:rsid w:val="00B72ABB"/>
    <w:rsid w:val="00B826AD"/>
    <w:rsid w:val="00B87646"/>
    <w:rsid w:val="00B93850"/>
    <w:rsid w:val="00B94878"/>
    <w:rsid w:val="00BA2A02"/>
    <w:rsid w:val="00BA634A"/>
    <w:rsid w:val="00BB4A8B"/>
    <w:rsid w:val="00BC13C6"/>
    <w:rsid w:val="00BC3DCE"/>
    <w:rsid w:val="00BC756B"/>
    <w:rsid w:val="00BD0CBB"/>
    <w:rsid w:val="00BD15E7"/>
    <w:rsid w:val="00BD6323"/>
    <w:rsid w:val="00BE1FDF"/>
    <w:rsid w:val="00BE3391"/>
    <w:rsid w:val="00BF0C95"/>
    <w:rsid w:val="00BF1FDB"/>
    <w:rsid w:val="00BF59FA"/>
    <w:rsid w:val="00BF6EAE"/>
    <w:rsid w:val="00C02E64"/>
    <w:rsid w:val="00C038AE"/>
    <w:rsid w:val="00C07F95"/>
    <w:rsid w:val="00C1771B"/>
    <w:rsid w:val="00C3062F"/>
    <w:rsid w:val="00C31ADE"/>
    <w:rsid w:val="00C41A64"/>
    <w:rsid w:val="00C51A10"/>
    <w:rsid w:val="00C609B3"/>
    <w:rsid w:val="00C60C7F"/>
    <w:rsid w:val="00C620DE"/>
    <w:rsid w:val="00C65B4E"/>
    <w:rsid w:val="00C66241"/>
    <w:rsid w:val="00C6636E"/>
    <w:rsid w:val="00C67304"/>
    <w:rsid w:val="00C6789D"/>
    <w:rsid w:val="00C731E3"/>
    <w:rsid w:val="00C742A5"/>
    <w:rsid w:val="00C7613A"/>
    <w:rsid w:val="00C83671"/>
    <w:rsid w:val="00C87949"/>
    <w:rsid w:val="00C95433"/>
    <w:rsid w:val="00C97BCC"/>
    <w:rsid w:val="00CA35E6"/>
    <w:rsid w:val="00CB36CE"/>
    <w:rsid w:val="00CB7BBB"/>
    <w:rsid w:val="00CB7D22"/>
    <w:rsid w:val="00CC2AAB"/>
    <w:rsid w:val="00CD36A9"/>
    <w:rsid w:val="00CE14E4"/>
    <w:rsid w:val="00CF5A34"/>
    <w:rsid w:val="00CF6E28"/>
    <w:rsid w:val="00D00CB3"/>
    <w:rsid w:val="00D218DB"/>
    <w:rsid w:val="00D249BC"/>
    <w:rsid w:val="00D24DA3"/>
    <w:rsid w:val="00D251C2"/>
    <w:rsid w:val="00D25EEF"/>
    <w:rsid w:val="00D42034"/>
    <w:rsid w:val="00D444BA"/>
    <w:rsid w:val="00D44B80"/>
    <w:rsid w:val="00D456B7"/>
    <w:rsid w:val="00D47874"/>
    <w:rsid w:val="00D52E72"/>
    <w:rsid w:val="00D563F0"/>
    <w:rsid w:val="00D6157B"/>
    <w:rsid w:val="00D7260A"/>
    <w:rsid w:val="00D765AD"/>
    <w:rsid w:val="00D95996"/>
    <w:rsid w:val="00DA0153"/>
    <w:rsid w:val="00DA397D"/>
    <w:rsid w:val="00DB3854"/>
    <w:rsid w:val="00DC2C7A"/>
    <w:rsid w:val="00DC6A4E"/>
    <w:rsid w:val="00DD52E1"/>
    <w:rsid w:val="00DE13D6"/>
    <w:rsid w:val="00DE27DB"/>
    <w:rsid w:val="00DE2894"/>
    <w:rsid w:val="00DE59FF"/>
    <w:rsid w:val="00DE7870"/>
    <w:rsid w:val="00DF380C"/>
    <w:rsid w:val="00E126C2"/>
    <w:rsid w:val="00E1458D"/>
    <w:rsid w:val="00E20250"/>
    <w:rsid w:val="00E22A53"/>
    <w:rsid w:val="00E234FC"/>
    <w:rsid w:val="00E36077"/>
    <w:rsid w:val="00E528C2"/>
    <w:rsid w:val="00E53934"/>
    <w:rsid w:val="00E53FD5"/>
    <w:rsid w:val="00E54F8C"/>
    <w:rsid w:val="00E563F6"/>
    <w:rsid w:val="00E66C5A"/>
    <w:rsid w:val="00E679C3"/>
    <w:rsid w:val="00E72E38"/>
    <w:rsid w:val="00E73AA8"/>
    <w:rsid w:val="00E75302"/>
    <w:rsid w:val="00E7578D"/>
    <w:rsid w:val="00E80220"/>
    <w:rsid w:val="00E85784"/>
    <w:rsid w:val="00E90607"/>
    <w:rsid w:val="00E95D04"/>
    <w:rsid w:val="00E9795B"/>
    <w:rsid w:val="00EA2EE0"/>
    <w:rsid w:val="00EA370F"/>
    <w:rsid w:val="00EA63B8"/>
    <w:rsid w:val="00EA7D83"/>
    <w:rsid w:val="00EC62A0"/>
    <w:rsid w:val="00EC7D84"/>
    <w:rsid w:val="00EF10FE"/>
    <w:rsid w:val="00EF24B7"/>
    <w:rsid w:val="00EF4B11"/>
    <w:rsid w:val="00F11522"/>
    <w:rsid w:val="00F1236A"/>
    <w:rsid w:val="00F141D5"/>
    <w:rsid w:val="00F173BD"/>
    <w:rsid w:val="00F24EAC"/>
    <w:rsid w:val="00F335C0"/>
    <w:rsid w:val="00F37D12"/>
    <w:rsid w:val="00F44316"/>
    <w:rsid w:val="00F47ED2"/>
    <w:rsid w:val="00F57712"/>
    <w:rsid w:val="00F62689"/>
    <w:rsid w:val="00F67A48"/>
    <w:rsid w:val="00F7019E"/>
    <w:rsid w:val="00F740F9"/>
    <w:rsid w:val="00F76021"/>
    <w:rsid w:val="00F7770B"/>
    <w:rsid w:val="00F82008"/>
    <w:rsid w:val="00F82B4B"/>
    <w:rsid w:val="00F86C36"/>
    <w:rsid w:val="00F96952"/>
    <w:rsid w:val="00FA359E"/>
    <w:rsid w:val="00FB2FBA"/>
    <w:rsid w:val="00FB7033"/>
    <w:rsid w:val="00FB7E2C"/>
    <w:rsid w:val="00FC1514"/>
    <w:rsid w:val="00FC346C"/>
    <w:rsid w:val="00FC3A7F"/>
    <w:rsid w:val="00FD5710"/>
    <w:rsid w:val="00FD5E33"/>
    <w:rsid w:val="00FD6DC9"/>
    <w:rsid w:val="00FE3430"/>
    <w:rsid w:val="00FE4E57"/>
    <w:rsid w:val="00FE571D"/>
    <w:rsid w:val="00FE5C64"/>
    <w:rsid w:val="00FE6E74"/>
    <w:rsid w:val="00FF2A04"/>
    <w:rsid w:val="00FF2C8F"/>
    <w:rsid w:val="00FF2D65"/>
    <w:rsid w:val="00FF6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7f2c9,#803400,#801900,#f7eec8,#e9da88,#fbf8e7"/>
    </o:shapedefaults>
    <o:shapelayout v:ext="edit">
      <o:idmap v:ext="edit" data="1"/>
    </o:shapelayout>
  </w:shapeDefaults>
  <w:decimalSymbol w:val="."/>
  <w:listSeparator w:val=","/>
  <w15:docId w15:val="{64757690-E80D-47B4-8EE7-23F08F65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E72"/>
    <w:pPr>
      <w:spacing w:after="200" w:line="276" w:lineRule="auto"/>
    </w:pPr>
    <w:rPr>
      <w:sz w:val="22"/>
      <w:szCs w:val="22"/>
    </w:rPr>
  </w:style>
  <w:style w:type="paragraph" w:styleId="Heading1">
    <w:name w:val="heading 1"/>
    <w:basedOn w:val="Normal"/>
    <w:next w:val="Normal"/>
    <w:link w:val="Heading1Char"/>
    <w:uiPriority w:val="9"/>
    <w:qFormat/>
    <w:rsid w:val="003C2BD3"/>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80739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9E48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48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A48"/>
    <w:pPr>
      <w:ind w:left="720"/>
      <w:contextualSpacing/>
    </w:pPr>
  </w:style>
  <w:style w:type="paragraph" w:styleId="NormalWeb">
    <w:name w:val="Normal (Web)"/>
    <w:basedOn w:val="Normal"/>
    <w:uiPriority w:val="99"/>
    <w:unhideWhenUsed/>
    <w:rsid w:val="00402558"/>
    <w:pPr>
      <w:spacing w:before="100" w:beforeAutospacing="1" w:after="100" w:afterAutospacing="1" w:line="240" w:lineRule="auto"/>
    </w:pPr>
    <w:rPr>
      <w:rFonts w:ascii="Times New Roman" w:hAnsi="Times New Roman"/>
      <w:sz w:val="24"/>
      <w:szCs w:val="24"/>
    </w:rPr>
  </w:style>
  <w:style w:type="character" w:customStyle="1" w:styleId="skypepnhcontainer">
    <w:name w:val="skype_pnh_container"/>
    <w:basedOn w:val="DefaultParagraphFont"/>
    <w:rsid w:val="00402558"/>
  </w:style>
  <w:style w:type="character" w:customStyle="1" w:styleId="skypepnhtextspan">
    <w:name w:val="skype_pnh_text_span"/>
    <w:basedOn w:val="DefaultParagraphFont"/>
    <w:rsid w:val="00402558"/>
  </w:style>
  <w:style w:type="character" w:customStyle="1" w:styleId="skypepnhrightspan">
    <w:name w:val="skype_pnh_right_span"/>
    <w:basedOn w:val="DefaultParagraphFont"/>
    <w:rsid w:val="00402558"/>
  </w:style>
  <w:style w:type="character" w:customStyle="1" w:styleId="apple-converted-space">
    <w:name w:val="apple-converted-space"/>
    <w:basedOn w:val="DefaultParagraphFont"/>
    <w:rsid w:val="00402558"/>
  </w:style>
  <w:style w:type="character" w:styleId="Hyperlink">
    <w:name w:val="Hyperlink"/>
    <w:basedOn w:val="DefaultParagraphFont"/>
    <w:uiPriority w:val="99"/>
    <w:unhideWhenUsed/>
    <w:rsid w:val="00AA68A8"/>
    <w:rPr>
      <w:color w:val="0000FF"/>
      <w:u w:val="single"/>
    </w:rPr>
  </w:style>
  <w:style w:type="character" w:styleId="FollowedHyperlink">
    <w:name w:val="FollowedHyperlink"/>
    <w:basedOn w:val="DefaultParagraphFont"/>
    <w:uiPriority w:val="99"/>
    <w:semiHidden/>
    <w:unhideWhenUsed/>
    <w:rsid w:val="007307D7"/>
    <w:rPr>
      <w:color w:val="800080"/>
      <w:u w:val="single"/>
    </w:rPr>
  </w:style>
  <w:style w:type="paragraph" w:customStyle="1" w:styleId="Default">
    <w:name w:val="Default"/>
    <w:rsid w:val="00291316"/>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7D37CA"/>
    <w:pPr>
      <w:spacing w:after="0" w:line="240" w:lineRule="auto"/>
    </w:pPr>
    <w:rPr>
      <w:sz w:val="20"/>
      <w:szCs w:val="20"/>
    </w:rPr>
  </w:style>
  <w:style w:type="character" w:customStyle="1" w:styleId="FootnoteTextChar">
    <w:name w:val="Footnote Text Char"/>
    <w:basedOn w:val="DefaultParagraphFont"/>
    <w:link w:val="FootnoteText"/>
    <w:uiPriority w:val="99"/>
    <w:rsid w:val="007D37CA"/>
    <w:rPr>
      <w:sz w:val="20"/>
      <w:szCs w:val="20"/>
    </w:rPr>
  </w:style>
  <w:style w:type="character" w:styleId="FootnoteReference">
    <w:name w:val="footnote reference"/>
    <w:basedOn w:val="DefaultParagraphFont"/>
    <w:uiPriority w:val="99"/>
    <w:unhideWhenUsed/>
    <w:rsid w:val="007D37CA"/>
    <w:rPr>
      <w:vertAlign w:val="superscript"/>
    </w:rPr>
  </w:style>
  <w:style w:type="paragraph" w:styleId="Header">
    <w:name w:val="header"/>
    <w:basedOn w:val="Normal"/>
    <w:link w:val="HeaderChar"/>
    <w:uiPriority w:val="99"/>
    <w:unhideWhenUsed/>
    <w:rsid w:val="008B4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692"/>
  </w:style>
  <w:style w:type="paragraph" w:styleId="Footer">
    <w:name w:val="footer"/>
    <w:basedOn w:val="Normal"/>
    <w:link w:val="FooterChar"/>
    <w:uiPriority w:val="99"/>
    <w:unhideWhenUsed/>
    <w:rsid w:val="008B4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692"/>
  </w:style>
  <w:style w:type="character" w:customStyle="1" w:styleId="il">
    <w:name w:val="il"/>
    <w:basedOn w:val="DefaultParagraphFont"/>
    <w:rsid w:val="00C97BCC"/>
  </w:style>
  <w:style w:type="character" w:customStyle="1" w:styleId="Heading3Char">
    <w:name w:val="Heading 3 Char"/>
    <w:basedOn w:val="DefaultParagraphFont"/>
    <w:link w:val="Heading3"/>
    <w:uiPriority w:val="9"/>
    <w:rsid w:val="0080739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AB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1C1"/>
    <w:rPr>
      <w:rFonts w:ascii="Tahoma" w:hAnsi="Tahoma" w:cs="Tahoma"/>
      <w:sz w:val="16"/>
      <w:szCs w:val="16"/>
    </w:rPr>
  </w:style>
  <w:style w:type="paragraph" w:styleId="NoSpacing">
    <w:name w:val="No Spacing"/>
    <w:uiPriority w:val="1"/>
    <w:qFormat/>
    <w:rsid w:val="004C2D02"/>
    <w:rPr>
      <w:sz w:val="22"/>
      <w:szCs w:val="22"/>
    </w:rPr>
  </w:style>
  <w:style w:type="character" w:customStyle="1" w:styleId="Heading1Char">
    <w:name w:val="Heading 1 Char"/>
    <w:basedOn w:val="DefaultParagraphFont"/>
    <w:link w:val="Heading1"/>
    <w:uiPriority w:val="9"/>
    <w:rsid w:val="003C2BD3"/>
    <w:rPr>
      <w:rFonts w:ascii="Cambria" w:eastAsia="Times New Roman" w:hAnsi="Cambria" w:cs="Times New Roman"/>
      <w:b/>
      <w:bCs/>
      <w:color w:val="365F91"/>
      <w:sz w:val="28"/>
      <w:szCs w:val="28"/>
    </w:rPr>
  </w:style>
  <w:style w:type="character" w:styleId="CommentReference">
    <w:name w:val="annotation reference"/>
    <w:basedOn w:val="DefaultParagraphFont"/>
    <w:uiPriority w:val="99"/>
    <w:semiHidden/>
    <w:unhideWhenUsed/>
    <w:rsid w:val="00995012"/>
    <w:rPr>
      <w:sz w:val="16"/>
      <w:szCs w:val="16"/>
    </w:rPr>
  </w:style>
  <w:style w:type="paragraph" w:styleId="CommentText">
    <w:name w:val="annotation text"/>
    <w:basedOn w:val="Normal"/>
    <w:link w:val="CommentTextChar"/>
    <w:uiPriority w:val="99"/>
    <w:semiHidden/>
    <w:unhideWhenUsed/>
    <w:rsid w:val="00995012"/>
    <w:pPr>
      <w:spacing w:line="240" w:lineRule="auto"/>
    </w:pPr>
    <w:rPr>
      <w:sz w:val="20"/>
      <w:szCs w:val="20"/>
    </w:rPr>
  </w:style>
  <w:style w:type="character" w:customStyle="1" w:styleId="CommentTextChar">
    <w:name w:val="Comment Text Char"/>
    <w:basedOn w:val="DefaultParagraphFont"/>
    <w:link w:val="CommentText"/>
    <w:uiPriority w:val="99"/>
    <w:semiHidden/>
    <w:rsid w:val="00995012"/>
    <w:rPr>
      <w:sz w:val="20"/>
      <w:szCs w:val="20"/>
    </w:rPr>
  </w:style>
  <w:style w:type="paragraph" w:styleId="CommentSubject">
    <w:name w:val="annotation subject"/>
    <w:basedOn w:val="CommentText"/>
    <w:next w:val="CommentText"/>
    <w:link w:val="CommentSubjectChar"/>
    <w:uiPriority w:val="99"/>
    <w:semiHidden/>
    <w:unhideWhenUsed/>
    <w:rsid w:val="00995012"/>
    <w:rPr>
      <w:b/>
      <w:bCs/>
    </w:rPr>
  </w:style>
  <w:style w:type="character" w:customStyle="1" w:styleId="CommentSubjectChar">
    <w:name w:val="Comment Subject Char"/>
    <w:basedOn w:val="CommentTextChar"/>
    <w:link w:val="CommentSubject"/>
    <w:uiPriority w:val="99"/>
    <w:semiHidden/>
    <w:rsid w:val="00995012"/>
    <w:rPr>
      <w:b/>
      <w:bCs/>
      <w:sz w:val="20"/>
      <w:szCs w:val="20"/>
    </w:rPr>
  </w:style>
  <w:style w:type="paragraph" w:customStyle="1" w:styleId="Style1">
    <w:name w:val="Style1"/>
    <w:basedOn w:val="Normal"/>
    <w:link w:val="Style1Char"/>
    <w:qFormat/>
    <w:rsid w:val="00FC1514"/>
    <w:pPr>
      <w:spacing w:before="120" w:after="120" w:line="240" w:lineRule="auto"/>
    </w:pPr>
    <w:rPr>
      <w:rFonts w:ascii="Times New Roman" w:hAnsi="Times New Roman"/>
      <w:b/>
      <w:sz w:val="24"/>
      <w:szCs w:val="24"/>
    </w:rPr>
  </w:style>
  <w:style w:type="character" w:customStyle="1" w:styleId="Style1Char">
    <w:name w:val="Style1 Char"/>
    <w:basedOn w:val="DefaultParagraphFont"/>
    <w:link w:val="Style1"/>
    <w:rsid w:val="00FC1514"/>
    <w:rPr>
      <w:rFonts w:ascii="Times New Roman" w:hAnsi="Times New Roman" w:cs="Times New Roman"/>
      <w:b/>
      <w:sz w:val="24"/>
      <w:szCs w:val="24"/>
    </w:rPr>
  </w:style>
  <w:style w:type="paragraph" w:styleId="Caption">
    <w:name w:val="caption"/>
    <w:basedOn w:val="Normal"/>
    <w:next w:val="Normal"/>
    <w:uiPriority w:val="99"/>
    <w:qFormat/>
    <w:rsid w:val="00892F83"/>
    <w:pPr>
      <w:framePr w:w="3088" w:h="11911" w:hRule="exact" w:wrap="auto" w:vAnchor="page" w:hAnchor="page" w:x="661" w:y="2821"/>
      <w:widowControl w:val="0"/>
      <w:spacing w:after="0" w:line="180" w:lineRule="exact"/>
    </w:pPr>
    <w:rPr>
      <w:rFonts w:ascii="GoudyOlSt BT" w:hAnsi="GoudyOlSt BT" w:cs="GoudyOlSt BT"/>
      <w:b/>
      <w:bCs/>
      <w:sz w:val="16"/>
      <w:szCs w:val="16"/>
    </w:rPr>
  </w:style>
  <w:style w:type="paragraph" w:customStyle="1" w:styleId="Pa2">
    <w:name w:val="Pa2"/>
    <w:basedOn w:val="Default"/>
    <w:next w:val="Default"/>
    <w:uiPriority w:val="99"/>
    <w:rsid w:val="00B078BE"/>
    <w:pPr>
      <w:spacing w:line="171" w:lineRule="atLeast"/>
    </w:pPr>
    <w:rPr>
      <w:rFonts w:ascii="Goudy Old Style" w:hAnsi="Goudy Old Style"/>
      <w:color w:val="auto"/>
    </w:rPr>
  </w:style>
  <w:style w:type="paragraph" w:styleId="PlainText">
    <w:name w:val="Plain Text"/>
    <w:basedOn w:val="Normal"/>
    <w:link w:val="PlainTextChar"/>
    <w:uiPriority w:val="99"/>
    <w:unhideWhenUsed/>
    <w:rsid w:val="00762D90"/>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62D90"/>
    <w:rPr>
      <w:rFonts w:ascii="Consolas" w:eastAsiaTheme="minorHAnsi" w:hAnsi="Consolas" w:cstheme="minorBidi"/>
      <w:sz w:val="21"/>
      <w:szCs w:val="21"/>
    </w:rPr>
  </w:style>
  <w:style w:type="character" w:styleId="Emphasis">
    <w:name w:val="Emphasis"/>
    <w:basedOn w:val="DefaultParagraphFont"/>
    <w:uiPriority w:val="20"/>
    <w:qFormat/>
    <w:rsid w:val="009B645E"/>
    <w:rPr>
      <w:i/>
      <w:iCs/>
    </w:rPr>
  </w:style>
  <w:style w:type="character" w:customStyle="1" w:styleId="cosearchterm">
    <w:name w:val="co_searchterm"/>
    <w:basedOn w:val="DefaultParagraphFont"/>
    <w:rsid w:val="009B645E"/>
  </w:style>
  <w:style w:type="character" w:styleId="Strong">
    <w:name w:val="Strong"/>
    <w:basedOn w:val="DefaultParagraphFont"/>
    <w:uiPriority w:val="22"/>
    <w:qFormat/>
    <w:rsid w:val="00942690"/>
    <w:rPr>
      <w:b/>
      <w:bCs/>
    </w:rPr>
  </w:style>
  <w:style w:type="paragraph" w:customStyle="1" w:styleId="small">
    <w:name w:val="small"/>
    <w:basedOn w:val="Normal"/>
    <w:rsid w:val="00942690"/>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9E486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E486F"/>
    <w:rPr>
      <w:rFonts w:asciiTheme="majorHAnsi" w:eastAsiaTheme="majorEastAsia" w:hAnsiTheme="majorHAnsi" w:cstheme="majorBidi"/>
      <w:color w:val="243F60" w:themeColor="accent1" w:themeShade="7F"/>
      <w:sz w:val="22"/>
      <w:szCs w:val="22"/>
    </w:rPr>
  </w:style>
  <w:style w:type="paragraph" w:styleId="Revision">
    <w:name w:val="Revision"/>
    <w:hidden/>
    <w:uiPriority w:val="99"/>
    <w:semiHidden/>
    <w:rsid w:val="000559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6385">
      <w:bodyDiv w:val="1"/>
      <w:marLeft w:val="0"/>
      <w:marRight w:val="0"/>
      <w:marTop w:val="0"/>
      <w:marBottom w:val="0"/>
      <w:divBdr>
        <w:top w:val="none" w:sz="0" w:space="0" w:color="auto"/>
        <w:left w:val="none" w:sz="0" w:space="0" w:color="auto"/>
        <w:bottom w:val="none" w:sz="0" w:space="0" w:color="auto"/>
        <w:right w:val="none" w:sz="0" w:space="0" w:color="auto"/>
      </w:divBdr>
    </w:div>
    <w:div w:id="85349543">
      <w:bodyDiv w:val="1"/>
      <w:marLeft w:val="0"/>
      <w:marRight w:val="0"/>
      <w:marTop w:val="0"/>
      <w:marBottom w:val="0"/>
      <w:divBdr>
        <w:top w:val="none" w:sz="0" w:space="0" w:color="auto"/>
        <w:left w:val="none" w:sz="0" w:space="0" w:color="auto"/>
        <w:bottom w:val="none" w:sz="0" w:space="0" w:color="auto"/>
        <w:right w:val="none" w:sz="0" w:space="0" w:color="auto"/>
      </w:divBdr>
    </w:div>
    <w:div w:id="165480148">
      <w:bodyDiv w:val="1"/>
      <w:marLeft w:val="0"/>
      <w:marRight w:val="0"/>
      <w:marTop w:val="0"/>
      <w:marBottom w:val="0"/>
      <w:divBdr>
        <w:top w:val="none" w:sz="0" w:space="0" w:color="auto"/>
        <w:left w:val="none" w:sz="0" w:space="0" w:color="auto"/>
        <w:bottom w:val="none" w:sz="0" w:space="0" w:color="auto"/>
        <w:right w:val="none" w:sz="0" w:space="0" w:color="auto"/>
      </w:divBdr>
    </w:div>
    <w:div w:id="338118725">
      <w:bodyDiv w:val="1"/>
      <w:marLeft w:val="0"/>
      <w:marRight w:val="0"/>
      <w:marTop w:val="0"/>
      <w:marBottom w:val="0"/>
      <w:divBdr>
        <w:top w:val="none" w:sz="0" w:space="0" w:color="auto"/>
        <w:left w:val="none" w:sz="0" w:space="0" w:color="auto"/>
        <w:bottom w:val="none" w:sz="0" w:space="0" w:color="auto"/>
        <w:right w:val="none" w:sz="0" w:space="0" w:color="auto"/>
      </w:divBdr>
    </w:div>
    <w:div w:id="471681261">
      <w:bodyDiv w:val="1"/>
      <w:marLeft w:val="0"/>
      <w:marRight w:val="0"/>
      <w:marTop w:val="0"/>
      <w:marBottom w:val="0"/>
      <w:divBdr>
        <w:top w:val="none" w:sz="0" w:space="0" w:color="auto"/>
        <w:left w:val="none" w:sz="0" w:space="0" w:color="auto"/>
        <w:bottom w:val="none" w:sz="0" w:space="0" w:color="auto"/>
        <w:right w:val="none" w:sz="0" w:space="0" w:color="auto"/>
      </w:divBdr>
    </w:div>
    <w:div w:id="731193793">
      <w:bodyDiv w:val="1"/>
      <w:marLeft w:val="0"/>
      <w:marRight w:val="0"/>
      <w:marTop w:val="0"/>
      <w:marBottom w:val="0"/>
      <w:divBdr>
        <w:top w:val="none" w:sz="0" w:space="0" w:color="auto"/>
        <w:left w:val="none" w:sz="0" w:space="0" w:color="auto"/>
        <w:bottom w:val="none" w:sz="0" w:space="0" w:color="auto"/>
        <w:right w:val="none" w:sz="0" w:space="0" w:color="auto"/>
      </w:divBdr>
    </w:div>
    <w:div w:id="733311660">
      <w:bodyDiv w:val="1"/>
      <w:marLeft w:val="0"/>
      <w:marRight w:val="0"/>
      <w:marTop w:val="0"/>
      <w:marBottom w:val="0"/>
      <w:divBdr>
        <w:top w:val="none" w:sz="0" w:space="0" w:color="auto"/>
        <w:left w:val="none" w:sz="0" w:space="0" w:color="auto"/>
        <w:bottom w:val="none" w:sz="0" w:space="0" w:color="auto"/>
        <w:right w:val="none" w:sz="0" w:space="0" w:color="auto"/>
      </w:divBdr>
    </w:div>
    <w:div w:id="743456440">
      <w:bodyDiv w:val="1"/>
      <w:marLeft w:val="0"/>
      <w:marRight w:val="0"/>
      <w:marTop w:val="0"/>
      <w:marBottom w:val="0"/>
      <w:divBdr>
        <w:top w:val="none" w:sz="0" w:space="0" w:color="auto"/>
        <w:left w:val="none" w:sz="0" w:space="0" w:color="auto"/>
        <w:bottom w:val="none" w:sz="0" w:space="0" w:color="auto"/>
        <w:right w:val="none" w:sz="0" w:space="0" w:color="auto"/>
      </w:divBdr>
    </w:div>
    <w:div w:id="791871827">
      <w:bodyDiv w:val="1"/>
      <w:marLeft w:val="0"/>
      <w:marRight w:val="0"/>
      <w:marTop w:val="0"/>
      <w:marBottom w:val="0"/>
      <w:divBdr>
        <w:top w:val="none" w:sz="0" w:space="0" w:color="auto"/>
        <w:left w:val="none" w:sz="0" w:space="0" w:color="auto"/>
        <w:bottom w:val="none" w:sz="0" w:space="0" w:color="auto"/>
        <w:right w:val="none" w:sz="0" w:space="0" w:color="auto"/>
      </w:divBdr>
    </w:div>
    <w:div w:id="843280750">
      <w:bodyDiv w:val="1"/>
      <w:marLeft w:val="0"/>
      <w:marRight w:val="0"/>
      <w:marTop w:val="0"/>
      <w:marBottom w:val="0"/>
      <w:divBdr>
        <w:top w:val="none" w:sz="0" w:space="0" w:color="auto"/>
        <w:left w:val="none" w:sz="0" w:space="0" w:color="auto"/>
        <w:bottom w:val="none" w:sz="0" w:space="0" w:color="auto"/>
        <w:right w:val="none" w:sz="0" w:space="0" w:color="auto"/>
      </w:divBdr>
    </w:div>
    <w:div w:id="920679676">
      <w:bodyDiv w:val="1"/>
      <w:marLeft w:val="0"/>
      <w:marRight w:val="0"/>
      <w:marTop w:val="0"/>
      <w:marBottom w:val="0"/>
      <w:divBdr>
        <w:top w:val="none" w:sz="0" w:space="0" w:color="auto"/>
        <w:left w:val="none" w:sz="0" w:space="0" w:color="auto"/>
        <w:bottom w:val="none" w:sz="0" w:space="0" w:color="auto"/>
        <w:right w:val="none" w:sz="0" w:space="0" w:color="auto"/>
      </w:divBdr>
    </w:div>
    <w:div w:id="955677279">
      <w:bodyDiv w:val="1"/>
      <w:marLeft w:val="0"/>
      <w:marRight w:val="0"/>
      <w:marTop w:val="0"/>
      <w:marBottom w:val="0"/>
      <w:divBdr>
        <w:top w:val="none" w:sz="0" w:space="0" w:color="auto"/>
        <w:left w:val="none" w:sz="0" w:space="0" w:color="auto"/>
        <w:bottom w:val="none" w:sz="0" w:space="0" w:color="auto"/>
        <w:right w:val="none" w:sz="0" w:space="0" w:color="auto"/>
      </w:divBdr>
    </w:div>
    <w:div w:id="1037119788">
      <w:bodyDiv w:val="1"/>
      <w:marLeft w:val="0"/>
      <w:marRight w:val="0"/>
      <w:marTop w:val="0"/>
      <w:marBottom w:val="0"/>
      <w:divBdr>
        <w:top w:val="none" w:sz="0" w:space="0" w:color="auto"/>
        <w:left w:val="none" w:sz="0" w:space="0" w:color="auto"/>
        <w:bottom w:val="none" w:sz="0" w:space="0" w:color="auto"/>
        <w:right w:val="none" w:sz="0" w:space="0" w:color="auto"/>
      </w:divBdr>
    </w:div>
    <w:div w:id="1229607449">
      <w:bodyDiv w:val="1"/>
      <w:marLeft w:val="0"/>
      <w:marRight w:val="0"/>
      <w:marTop w:val="0"/>
      <w:marBottom w:val="0"/>
      <w:divBdr>
        <w:top w:val="none" w:sz="0" w:space="0" w:color="auto"/>
        <w:left w:val="none" w:sz="0" w:space="0" w:color="auto"/>
        <w:bottom w:val="none" w:sz="0" w:space="0" w:color="auto"/>
        <w:right w:val="none" w:sz="0" w:space="0" w:color="auto"/>
      </w:divBdr>
    </w:div>
    <w:div w:id="1319379391">
      <w:bodyDiv w:val="1"/>
      <w:marLeft w:val="0"/>
      <w:marRight w:val="0"/>
      <w:marTop w:val="0"/>
      <w:marBottom w:val="0"/>
      <w:divBdr>
        <w:top w:val="none" w:sz="0" w:space="0" w:color="auto"/>
        <w:left w:val="none" w:sz="0" w:space="0" w:color="auto"/>
        <w:bottom w:val="none" w:sz="0" w:space="0" w:color="auto"/>
        <w:right w:val="none" w:sz="0" w:space="0" w:color="auto"/>
      </w:divBdr>
    </w:div>
    <w:div w:id="1503396565">
      <w:bodyDiv w:val="1"/>
      <w:marLeft w:val="0"/>
      <w:marRight w:val="0"/>
      <w:marTop w:val="0"/>
      <w:marBottom w:val="0"/>
      <w:divBdr>
        <w:top w:val="none" w:sz="0" w:space="0" w:color="auto"/>
        <w:left w:val="none" w:sz="0" w:space="0" w:color="auto"/>
        <w:bottom w:val="none" w:sz="0" w:space="0" w:color="auto"/>
        <w:right w:val="none" w:sz="0" w:space="0" w:color="auto"/>
      </w:divBdr>
    </w:div>
    <w:div w:id="1565484424">
      <w:bodyDiv w:val="1"/>
      <w:marLeft w:val="0"/>
      <w:marRight w:val="0"/>
      <w:marTop w:val="0"/>
      <w:marBottom w:val="0"/>
      <w:divBdr>
        <w:top w:val="none" w:sz="0" w:space="0" w:color="auto"/>
        <w:left w:val="none" w:sz="0" w:space="0" w:color="auto"/>
        <w:bottom w:val="none" w:sz="0" w:space="0" w:color="auto"/>
        <w:right w:val="none" w:sz="0" w:space="0" w:color="auto"/>
      </w:divBdr>
    </w:div>
    <w:div w:id="1600406137">
      <w:bodyDiv w:val="1"/>
      <w:marLeft w:val="0"/>
      <w:marRight w:val="0"/>
      <w:marTop w:val="0"/>
      <w:marBottom w:val="0"/>
      <w:divBdr>
        <w:top w:val="none" w:sz="0" w:space="0" w:color="auto"/>
        <w:left w:val="none" w:sz="0" w:space="0" w:color="auto"/>
        <w:bottom w:val="none" w:sz="0" w:space="0" w:color="auto"/>
        <w:right w:val="none" w:sz="0" w:space="0" w:color="auto"/>
      </w:divBdr>
      <w:divsChild>
        <w:div w:id="790705305">
          <w:marLeft w:val="0"/>
          <w:marRight w:val="0"/>
          <w:marTop w:val="0"/>
          <w:marBottom w:val="0"/>
          <w:divBdr>
            <w:top w:val="none" w:sz="0" w:space="0" w:color="auto"/>
            <w:left w:val="none" w:sz="0" w:space="0" w:color="auto"/>
            <w:bottom w:val="none" w:sz="0" w:space="0" w:color="auto"/>
            <w:right w:val="none" w:sz="0" w:space="0" w:color="auto"/>
          </w:divBdr>
          <w:divsChild>
            <w:div w:id="530387316">
              <w:marLeft w:val="0"/>
              <w:marRight w:val="0"/>
              <w:marTop w:val="0"/>
              <w:marBottom w:val="0"/>
              <w:divBdr>
                <w:top w:val="none" w:sz="0" w:space="0" w:color="auto"/>
                <w:left w:val="none" w:sz="0" w:space="0" w:color="auto"/>
                <w:bottom w:val="none" w:sz="0" w:space="0" w:color="auto"/>
                <w:right w:val="none" w:sz="0" w:space="0" w:color="auto"/>
              </w:divBdr>
              <w:divsChild>
                <w:div w:id="571162326">
                  <w:marLeft w:val="0"/>
                  <w:marRight w:val="0"/>
                  <w:marTop w:val="0"/>
                  <w:marBottom w:val="0"/>
                  <w:divBdr>
                    <w:top w:val="none" w:sz="0" w:space="0" w:color="auto"/>
                    <w:left w:val="none" w:sz="0" w:space="0" w:color="auto"/>
                    <w:bottom w:val="none" w:sz="0" w:space="0" w:color="auto"/>
                    <w:right w:val="none" w:sz="0" w:space="0" w:color="auto"/>
                  </w:divBdr>
                  <w:divsChild>
                    <w:div w:id="718629613">
                      <w:marLeft w:val="0"/>
                      <w:marRight w:val="0"/>
                      <w:marTop w:val="0"/>
                      <w:marBottom w:val="0"/>
                      <w:divBdr>
                        <w:top w:val="none" w:sz="0" w:space="0" w:color="auto"/>
                        <w:left w:val="none" w:sz="0" w:space="0" w:color="auto"/>
                        <w:bottom w:val="none" w:sz="0" w:space="0" w:color="auto"/>
                        <w:right w:val="none" w:sz="0" w:space="0" w:color="auto"/>
                      </w:divBdr>
                      <w:divsChild>
                        <w:div w:id="782378975">
                          <w:marLeft w:val="0"/>
                          <w:marRight w:val="0"/>
                          <w:marTop w:val="0"/>
                          <w:marBottom w:val="0"/>
                          <w:divBdr>
                            <w:top w:val="none" w:sz="0" w:space="0" w:color="auto"/>
                            <w:left w:val="none" w:sz="0" w:space="0" w:color="auto"/>
                            <w:bottom w:val="none" w:sz="0" w:space="0" w:color="auto"/>
                            <w:right w:val="none" w:sz="0" w:space="0" w:color="auto"/>
                          </w:divBdr>
                          <w:divsChild>
                            <w:div w:id="745497942">
                              <w:marLeft w:val="0"/>
                              <w:marRight w:val="0"/>
                              <w:marTop w:val="0"/>
                              <w:marBottom w:val="0"/>
                              <w:divBdr>
                                <w:top w:val="none" w:sz="0" w:space="0" w:color="auto"/>
                                <w:left w:val="none" w:sz="0" w:space="0" w:color="auto"/>
                                <w:bottom w:val="none" w:sz="0" w:space="0" w:color="auto"/>
                                <w:right w:val="none" w:sz="0" w:space="0" w:color="auto"/>
                              </w:divBdr>
                              <w:divsChild>
                                <w:div w:id="755639059">
                                  <w:marLeft w:val="0"/>
                                  <w:marRight w:val="0"/>
                                  <w:marTop w:val="0"/>
                                  <w:marBottom w:val="0"/>
                                  <w:divBdr>
                                    <w:top w:val="none" w:sz="0" w:space="0" w:color="auto"/>
                                    <w:left w:val="none" w:sz="0" w:space="0" w:color="auto"/>
                                    <w:bottom w:val="none" w:sz="0" w:space="0" w:color="auto"/>
                                    <w:right w:val="none" w:sz="0" w:space="0" w:color="auto"/>
                                  </w:divBdr>
                                  <w:divsChild>
                                    <w:div w:id="1987708072">
                                      <w:marLeft w:val="0"/>
                                      <w:marRight w:val="0"/>
                                      <w:marTop w:val="0"/>
                                      <w:marBottom w:val="0"/>
                                      <w:divBdr>
                                        <w:top w:val="none" w:sz="0" w:space="0" w:color="auto"/>
                                        <w:left w:val="none" w:sz="0" w:space="0" w:color="auto"/>
                                        <w:bottom w:val="none" w:sz="0" w:space="0" w:color="auto"/>
                                        <w:right w:val="none" w:sz="0" w:space="0" w:color="auto"/>
                                      </w:divBdr>
                                      <w:divsChild>
                                        <w:div w:id="1848443700">
                                          <w:marLeft w:val="0"/>
                                          <w:marRight w:val="0"/>
                                          <w:marTop w:val="0"/>
                                          <w:marBottom w:val="0"/>
                                          <w:divBdr>
                                            <w:top w:val="none" w:sz="0" w:space="0" w:color="auto"/>
                                            <w:left w:val="none" w:sz="0" w:space="0" w:color="auto"/>
                                            <w:bottom w:val="none" w:sz="0" w:space="0" w:color="auto"/>
                                            <w:right w:val="none" w:sz="0" w:space="0" w:color="auto"/>
                                          </w:divBdr>
                                          <w:divsChild>
                                            <w:div w:id="132019975">
                                              <w:marLeft w:val="0"/>
                                              <w:marRight w:val="0"/>
                                              <w:marTop w:val="0"/>
                                              <w:marBottom w:val="0"/>
                                              <w:divBdr>
                                                <w:top w:val="single" w:sz="12" w:space="2" w:color="FFFFCC"/>
                                                <w:left w:val="single" w:sz="12" w:space="2" w:color="FFFFCC"/>
                                                <w:bottom w:val="single" w:sz="12" w:space="2" w:color="FFFFCC"/>
                                                <w:right w:val="single" w:sz="12" w:space="0" w:color="FFFFCC"/>
                                              </w:divBdr>
                                              <w:divsChild>
                                                <w:div w:id="1206062384">
                                                  <w:marLeft w:val="0"/>
                                                  <w:marRight w:val="0"/>
                                                  <w:marTop w:val="0"/>
                                                  <w:marBottom w:val="0"/>
                                                  <w:divBdr>
                                                    <w:top w:val="none" w:sz="0" w:space="0" w:color="auto"/>
                                                    <w:left w:val="none" w:sz="0" w:space="0" w:color="auto"/>
                                                    <w:bottom w:val="none" w:sz="0" w:space="0" w:color="auto"/>
                                                    <w:right w:val="none" w:sz="0" w:space="0" w:color="auto"/>
                                                  </w:divBdr>
                                                  <w:divsChild>
                                                    <w:div w:id="978070443">
                                                      <w:marLeft w:val="0"/>
                                                      <w:marRight w:val="0"/>
                                                      <w:marTop w:val="0"/>
                                                      <w:marBottom w:val="0"/>
                                                      <w:divBdr>
                                                        <w:top w:val="none" w:sz="0" w:space="0" w:color="auto"/>
                                                        <w:left w:val="none" w:sz="0" w:space="0" w:color="auto"/>
                                                        <w:bottom w:val="none" w:sz="0" w:space="0" w:color="auto"/>
                                                        <w:right w:val="none" w:sz="0" w:space="0" w:color="auto"/>
                                                      </w:divBdr>
                                                      <w:divsChild>
                                                        <w:div w:id="1766225616">
                                                          <w:marLeft w:val="0"/>
                                                          <w:marRight w:val="0"/>
                                                          <w:marTop w:val="0"/>
                                                          <w:marBottom w:val="0"/>
                                                          <w:divBdr>
                                                            <w:top w:val="none" w:sz="0" w:space="0" w:color="auto"/>
                                                            <w:left w:val="none" w:sz="0" w:space="0" w:color="auto"/>
                                                            <w:bottom w:val="none" w:sz="0" w:space="0" w:color="auto"/>
                                                            <w:right w:val="none" w:sz="0" w:space="0" w:color="auto"/>
                                                          </w:divBdr>
                                                          <w:divsChild>
                                                            <w:div w:id="1217425562">
                                                              <w:marLeft w:val="0"/>
                                                              <w:marRight w:val="0"/>
                                                              <w:marTop w:val="0"/>
                                                              <w:marBottom w:val="0"/>
                                                              <w:divBdr>
                                                                <w:top w:val="none" w:sz="0" w:space="0" w:color="auto"/>
                                                                <w:left w:val="none" w:sz="0" w:space="0" w:color="auto"/>
                                                                <w:bottom w:val="none" w:sz="0" w:space="0" w:color="auto"/>
                                                                <w:right w:val="none" w:sz="0" w:space="0" w:color="auto"/>
                                                              </w:divBdr>
                                                              <w:divsChild>
                                                                <w:div w:id="1670474671">
                                                                  <w:marLeft w:val="0"/>
                                                                  <w:marRight w:val="0"/>
                                                                  <w:marTop w:val="0"/>
                                                                  <w:marBottom w:val="0"/>
                                                                  <w:divBdr>
                                                                    <w:top w:val="none" w:sz="0" w:space="0" w:color="auto"/>
                                                                    <w:left w:val="none" w:sz="0" w:space="0" w:color="auto"/>
                                                                    <w:bottom w:val="none" w:sz="0" w:space="0" w:color="auto"/>
                                                                    <w:right w:val="none" w:sz="0" w:space="0" w:color="auto"/>
                                                                  </w:divBdr>
                                                                  <w:divsChild>
                                                                    <w:div w:id="1895971669">
                                                                      <w:marLeft w:val="0"/>
                                                                      <w:marRight w:val="0"/>
                                                                      <w:marTop w:val="0"/>
                                                                      <w:marBottom w:val="0"/>
                                                                      <w:divBdr>
                                                                        <w:top w:val="none" w:sz="0" w:space="0" w:color="auto"/>
                                                                        <w:left w:val="none" w:sz="0" w:space="0" w:color="auto"/>
                                                                        <w:bottom w:val="none" w:sz="0" w:space="0" w:color="auto"/>
                                                                        <w:right w:val="none" w:sz="0" w:space="0" w:color="auto"/>
                                                                      </w:divBdr>
                                                                      <w:divsChild>
                                                                        <w:div w:id="228197362">
                                                                          <w:marLeft w:val="0"/>
                                                                          <w:marRight w:val="0"/>
                                                                          <w:marTop w:val="0"/>
                                                                          <w:marBottom w:val="0"/>
                                                                          <w:divBdr>
                                                                            <w:top w:val="none" w:sz="0" w:space="0" w:color="auto"/>
                                                                            <w:left w:val="none" w:sz="0" w:space="0" w:color="auto"/>
                                                                            <w:bottom w:val="none" w:sz="0" w:space="0" w:color="auto"/>
                                                                            <w:right w:val="none" w:sz="0" w:space="0" w:color="auto"/>
                                                                          </w:divBdr>
                                                                          <w:divsChild>
                                                                            <w:div w:id="427239217">
                                                                              <w:marLeft w:val="0"/>
                                                                              <w:marRight w:val="0"/>
                                                                              <w:marTop w:val="0"/>
                                                                              <w:marBottom w:val="0"/>
                                                                              <w:divBdr>
                                                                                <w:top w:val="none" w:sz="0" w:space="0" w:color="auto"/>
                                                                                <w:left w:val="none" w:sz="0" w:space="0" w:color="auto"/>
                                                                                <w:bottom w:val="none" w:sz="0" w:space="0" w:color="auto"/>
                                                                                <w:right w:val="none" w:sz="0" w:space="0" w:color="auto"/>
                                                                              </w:divBdr>
                                                                              <w:divsChild>
                                                                                <w:div w:id="1739205419">
                                                                                  <w:marLeft w:val="0"/>
                                                                                  <w:marRight w:val="0"/>
                                                                                  <w:marTop w:val="0"/>
                                                                                  <w:marBottom w:val="0"/>
                                                                                  <w:divBdr>
                                                                                    <w:top w:val="none" w:sz="0" w:space="0" w:color="auto"/>
                                                                                    <w:left w:val="none" w:sz="0" w:space="0" w:color="auto"/>
                                                                                    <w:bottom w:val="none" w:sz="0" w:space="0" w:color="auto"/>
                                                                                    <w:right w:val="none" w:sz="0" w:space="0" w:color="auto"/>
                                                                                  </w:divBdr>
                                                                                  <w:divsChild>
                                                                                    <w:div w:id="1174303478">
                                                                                      <w:marLeft w:val="0"/>
                                                                                      <w:marRight w:val="0"/>
                                                                                      <w:marTop w:val="0"/>
                                                                                      <w:marBottom w:val="0"/>
                                                                                      <w:divBdr>
                                                                                        <w:top w:val="none" w:sz="0" w:space="0" w:color="auto"/>
                                                                                        <w:left w:val="none" w:sz="0" w:space="0" w:color="auto"/>
                                                                                        <w:bottom w:val="none" w:sz="0" w:space="0" w:color="auto"/>
                                                                                        <w:right w:val="none" w:sz="0" w:space="0" w:color="auto"/>
                                                                                      </w:divBdr>
                                                                                      <w:divsChild>
                                                                                        <w:div w:id="179197273">
                                                                                          <w:marLeft w:val="0"/>
                                                                                          <w:marRight w:val="120"/>
                                                                                          <w:marTop w:val="0"/>
                                                                                          <w:marBottom w:val="150"/>
                                                                                          <w:divBdr>
                                                                                            <w:top w:val="single" w:sz="2" w:space="0" w:color="EFEFEF"/>
                                                                                            <w:left w:val="single" w:sz="6" w:space="0" w:color="EFEFEF"/>
                                                                                            <w:bottom w:val="single" w:sz="6" w:space="0" w:color="E2E2E2"/>
                                                                                            <w:right w:val="single" w:sz="6" w:space="0" w:color="EFEFEF"/>
                                                                                          </w:divBdr>
                                                                                          <w:divsChild>
                                                                                            <w:div w:id="1178041299">
                                                                                              <w:marLeft w:val="0"/>
                                                                                              <w:marRight w:val="0"/>
                                                                                              <w:marTop w:val="0"/>
                                                                                              <w:marBottom w:val="0"/>
                                                                                              <w:divBdr>
                                                                                                <w:top w:val="none" w:sz="0" w:space="0" w:color="auto"/>
                                                                                                <w:left w:val="none" w:sz="0" w:space="0" w:color="auto"/>
                                                                                                <w:bottom w:val="none" w:sz="0" w:space="0" w:color="auto"/>
                                                                                                <w:right w:val="none" w:sz="0" w:space="0" w:color="auto"/>
                                                                                              </w:divBdr>
                                                                                              <w:divsChild>
                                                                                                <w:div w:id="792601291">
                                                                                                  <w:marLeft w:val="0"/>
                                                                                                  <w:marRight w:val="0"/>
                                                                                                  <w:marTop w:val="0"/>
                                                                                                  <w:marBottom w:val="0"/>
                                                                                                  <w:divBdr>
                                                                                                    <w:top w:val="none" w:sz="0" w:space="0" w:color="auto"/>
                                                                                                    <w:left w:val="none" w:sz="0" w:space="0" w:color="auto"/>
                                                                                                    <w:bottom w:val="none" w:sz="0" w:space="0" w:color="auto"/>
                                                                                                    <w:right w:val="none" w:sz="0" w:space="0" w:color="auto"/>
                                                                                                  </w:divBdr>
                                                                                                  <w:divsChild>
                                                                                                    <w:div w:id="1936472903">
                                                                                                      <w:marLeft w:val="0"/>
                                                                                                      <w:marRight w:val="0"/>
                                                                                                      <w:marTop w:val="0"/>
                                                                                                      <w:marBottom w:val="0"/>
                                                                                                      <w:divBdr>
                                                                                                        <w:top w:val="none" w:sz="0" w:space="0" w:color="auto"/>
                                                                                                        <w:left w:val="none" w:sz="0" w:space="0" w:color="auto"/>
                                                                                                        <w:bottom w:val="none" w:sz="0" w:space="0" w:color="auto"/>
                                                                                                        <w:right w:val="none" w:sz="0" w:space="0" w:color="auto"/>
                                                                                                      </w:divBdr>
                                                                                                      <w:divsChild>
                                                                                                        <w:div w:id="1005547481">
                                                                                                          <w:marLeft w:val="0"/>
                                                                                                          <w:marRight w:val="0"/>
                                                                                                          <w:marTop w:val="0"/>
                                                                                                          <w:marBottom w:val="0"/>
                                                                                                          <w:divBdr>
                                                                                                            <w:top w:val="none" w:sz="0" w:space="0" w:color="auto"/>
                                                                                                            <w:left w:val="none" w:sz="0" w:space="0" w:color="auto"/>
                                                                                                            <w:bottom w:val="none" w:sz="0" w:space="0" w:color="auto"/>
                                                                                                            <w:right w:val="none" w:sz="0" w:space="0" w:color="auto"/>
                                                                                                          </w:divBdr>
                                                                                                          <w:divsChild>
                                                                                                            <w:div w:id="2059667518">
                                                                                                              <w:marLeft w:val="0"/>
                                                                                                              <w:marRight w:val="0"/>
                                                                                                              <w:marTop w:val="0"/>
                                                                                                              <w:marBottom w:val="0"/>
                                                                                                              <w:divBdr>
                                                                                                                <w:top w:val="single" w:sz="2" w:space="4" w:color="D8D8D8"/>
                                                                                                                <w:left w:val="single" w:sz="2" w:space="0" w:color="D8D8D8"/>
                                                                                                                <w:bottom w:val="single" w:sz="2" w:space="4" w:color="D8D8D8"/>
                                                                                                                <w:right w:val="single" w:sz="2" w:space="0" w:color="D8D8D8"/>
                                                                                                              </w:divBdr>
                                                                                                              <w:divsChild>
                                                                                                                <w:div w:id="2053991918">
                                                                                                                  <w:marLeft w:val="225"/>
                                                                                                                  <w:marRight w:val="225"/>
                                                                                                                  <w:marTop w:val="75"/>
                                                                                                                  <w:marBottom w:val="75"/>
                                                                                                                  <w:divBdr>
                                                                                                                    <w:top w:val="none" w:sz="0" w:space="0" w:color="auto"/>
                                                                                                                    <w:left w:val="none" w:sz="0" w:space="0" w:color="auto"/>
                                                                                                                    <w:bottom w:val="none" w:sz="0" w:space="0" w:color="auto"/>
                                                                                                                    <w:right w:val="none" w:sz="0" w:space="0" w:color="auto"/>
                                                                                                                  </w:divBdr>
                                                                                                                  <w:divsChild>
                                                                                                                    <w:div w:id="882058115">
                                                                                                                      <w:marLeft w:val="0"/>
                                                                                                                      <w:marRight w:val="0"/>
                                                                                                                      <w:marTop w:val="0"/>
                                                                                                                      <w:marBottom w:val="0"/>
                                                                                                                      <w:divBdr>
                                                                                                                        <w:top w:val="single" w:sz="6" w:space="0" w:color="auto"/>
                                                                                                                        <w:left w:val="single" w:sz="6" w:space="0" w:color="auto"/>
                                                                                                                        <w:bottom w:val="single" w:sz="6" w:space="0" w:color="auto"/>
                                                                                                                        <w:right w:val="single" w:sz="6" w:space="0" w:color="auto"/>
                                                                                                                      </w:divBdr>
                                                                                                                      <w:divsChild>
                                                                                                                        <w:div w:id="486550766">
                                                                                                                          <w:marLeft w:val="0"/>
                                                                                                                          <w:marRight w:val="0"/>
                                                                                                                          <w:marTop w:val="0"/>
                                                                                                                          <w:marBottom w:val="0"/>
                                                                                                                          <w:divBdr>
                                                                                                                            <w:top w:val="none" w:sz="0" w:space="0" w:color="auto"/>
                                                                                                                            <w:left w:val="none" w:sz="0" w:space="0" w:color="auto"/>
                                                                                                                            <w:bottom w:val="none" w:sz="0" w:space="0" w:color="auto"/>
                                                                                                                            <w:right w:val="none" w:sz="0" w:space="0" w:color="auto"/>
                                                                                                                          </w:divBdr>
                                                                                                                          <w:divsChild>
                                                                                                                            <w:div w:id="1238707559">
                                                                                                                              <w:marLeft w:val="0"/>
                                                                                                                              <w:marRight w:val="0"/>
                                                                                                                              <w:marTop w:val="0"/>
                                                                                                                              <w:marBottom w:val="0"/>
                                                                                                                              <w:divBdr>
                                                                                                                                <w:top w:val="none" w:sz="0" w:space="0" w:color="auto"/>
                                                                                                                                <w:left w:val="none" w:sz="0" w:space="0" w:color="auto"/>
                                                                                                                                <w:bottom w:val="none" w:sz="0" w:space="0" w:color="auto"/>
                                                                                                                                <w:right w:val="none" w:sz="0" w:space="0" w:color="auto"/>
                                                                                                                              </w:divBdr>
                                                                                                                            </w:div>
                                                                                                                            <w:div w:id="14779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754911">
      <w:bodyDiv w:val="1"/>
      <w:marLeft w:val="0"/>
      <w:marRight w:val="0"/>
      <w:marTop w:val="0"/>
      <w:marBottom w:val="0"/>
      <w:divBdr>
        <w:top w:val="none" w:sz="0" w:space="0" w:color="auto"/>
        <w:left w:val="none" w:sz="0" w:space="0" w:color="auto"/>
        <w:bottom w:val="none" w:sz="0" w:space="0" w:color="auto"/>
        <w:right w:val="none" w:sz="0" w:space="0" w:color="auto"/>
      </w:divBdr>
    </w:div>
    <w:div w:id="1890873831">
      <w:bodyDiv w:val="1"/>
      <w:marLeft w:val="0"/>
      <w:marRight w:val="0"/>
      <w:marTop w:val="0"/>
      <w:marBottom w:val="0"/>
      <w:divBdr>
        <w:top w:val="none" w:sz="0" w:space="0" w:color="auto"/>
        <w:left w:val="none" w:sz="0" w:space="0" w:color="auto"/>
        <w:bottom w:val="none" w:sz="0" w:space="0" w:color="auto"/>
        <w:right w:val="none" w:sz="0" w:space="0" w:color="auto"/>
      </w:divBdr>
    </w:div>
    <w:div w:id="1907062376">
      <w:bodyDiv w:val="1"/>
      <w:marLeft w:val="0"/>
      <w:marRight w:val="0"/>
      <w:marTop w:val="0"/>
      <w:marBottom w:val="0"/>
      <w:divBdr>
        <w:top w:val="none" w:sz="0" w:space="0" w:color="auto"/>
        <w:left w:val="none" w:sz="0" w:space="0" w:color="auto"/>
        <w:bottom w:val="none" w:sz="0" w:space="0" w:color="auto"/>
        <w:right w:val="none" w:sz="0" w:space="0" w:color="auto"/>
      </w:divBdr>
    </w:div>
    <w:div w:id="1937518243">
      <w:bodyDiv w:val="1"/>
      <w:marLeft w:val="0"/>
      <w:marRight w:val="0"/>
      <w:marTop w:val="0"/>
      <w:marBottom w:val="0"/>
      <w:divBdr>
        <w:top w:val="none" w:sz="0" w:space="0" w:color="auto"/>
        <w:left w:val="none" w:sz="0" w:space="0" w:color="auto"/>
        <w:bottom w:val="none" w:sz="0" w:space="0" w:color="auto"/>
        <w:right w:val="none" w:sz="0" w:space="0" w:color="auto"/>
      </w:divBdr>
    </w:div>
    <w:div w:id="20263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briefs/springfield_ma_soi.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privacy/hipaa/enforcement/compliancereport2011-201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s.gov/ocr/privacy/hipaa/enforcement/highlights/index.html" TargetMode="External"/><Relationship Id="rId4" Type="http://schemas.openxmlformats.org/officeDocument/2006/relationships/settings" Target="settings.xml"/><Relationship Id="rId9" Type="http://schemas.openxmlformats.org/officeDocument/2006/relationships/hyperlink" Target="http://www.ada.gov/olmstead/q&amp;a_olmstead.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kff.org/report-section/ehbs-2014-section-one-cost-of-health-insurance" TargetMode="External"/><Relationship Id="rId2" Type="http://schemas.openxmlformats.org/officeDocument/2006/relationships/hyperlink" Target="http://www.eeoc.gov/policy/docs/guidance-inquiries.html" TargetMode="External"/><Relationship Id="rId1" Type="http://schemas.openxmlformats.org/officeDocument/2006/relationships/hyperlink" Target="http://www.help.senate.gov/imo/media/doc/HELP%20Committee%20Disability%20and%20Poverty%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Local\Microsoft\Windows\Temporary%20Internet%20Files\Content.IE5\Y1CVMHK6\3.19.14letterheadtemplate%20(with%20bo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4DF2-05FA-426B-B263-B6F1D375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3.19.14letterheadtemplate (with board)</Template>
  <TotalTime>1</TotalTime>
  <Pages>18</Pages>
  <Words>6835</Words>
  <Characters>38961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Mathis</dc:creator>
  <cp:lastModifiedBy>McGowan, Kevin</cp:lastModifiedBy>
  <cp:revision>2</cp:revision>
  <cp:lastPrinted>2015-06-22T21:20:00Z</cp:lastPrinted>
  <dcterms:created xsi:type="dcterms:W3CDTF">2015-06-22T21:21:00Z</dcterms:created>
  <dcterms:modified xsi:type="dcterms:W3CDTF">2015-06-22T21:21:00Z</dcterms:modified>
</cp:coreProperties>
</file>